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16187F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14</w:t>
      </w:r>
      <w:r w:rsidR="00732A72">
        <w:rPr>
          <w:color w:val="4F6228" w:themeColor="accent3" w:themeShade="80"/>
          <w:sz w:val="24"/>
          <w:szCs w:val="24"/>
        </w:rPr>
        <w:t>/</w:t>
      </w:r>
      <w:r w:rsidR="006664C6"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>
        <w:rPr>
          <w:color w:val="4F6228" w:themeColor="accent3" w:themeShade="80"/>
          <w:sz w:val="24"/>
          <w:szCs w:val="24"/>
        </w:rPr>
        <w:t>10</w:t>
      </w:r>
      <w:r w:rsidR="0099306C">
        <w:rPr>
          <w:color w:val="4F6228" w:themeColor="accent3" w:themeShade="80"/>
          <w:sz w:val="24"/>
          <w:szCs w:val="24"/>
        </w:rPr>
        <w:t>:0</w:t>
      </w:r>
      <w:r w:rsidR="00127612">
        <w:rPr>
          <w:color w:val="4F6228" w:themeColor="accent3" w:themeShade="80"/>
          <w:sz w:val="24"/>
          <w:szCs w:val="24"/>
        </w:rPr>
        <w:t>0</w:t>
      </w:r>
      <w:proofErr w:type="gramEnd"/>
      <w:r w:rsidR="0099306C">
        <w:rPr>
          <w:color w:val="4F6228" w:themeColor="accent3" w:themeShade="80"/>
          <w:sz w:val="24"/>
          <w:szCs w:val="24"/>
        </w:rPr>
        <w:t xml:space="preserve"> a </w:t>
      </w:r>
      <w:r>
        <w:rPr>
          <w:color w:val="4F6228" w:themeColor="accent3" w:themeShade="80"/>
          <w:sz w:val="24"/>
          <w:szCs w:val="24"/>
        </w:rPr>
        <w:t>11</w:t>
      </w:r>
      <w:r w:rsidR="0099306C">
        <w:rPr>
          <w:color w:val="4F6228" w:themeColor="accent3" w:themeShade="80"/>
          <w:sz w:val="24"/>
          <w:szCs w:val="24"/>
        </w:rPr>
        <w:t>:00</w:t>
      </w:r>
    </w:p>
    <w:p w:rsidR="0099306C" w:rsidRDefault="0099306C" w:rsidP="005463D0">
      <w:pPr>
        <w:rPr>
          <w:color w:val="4F6228" w:themeColor="accent3" w:themeShade="80"/>
          <w:sz w:val="24"/>
          <w:szCs w:val="24"/>
        </w:rPr>
      </w:pPr>
      <w:r w:rsidRPr="0099306C">
        <w:rPr>
          <w:color w:val="4F6228" w:themeColor="accent3" w:themeShade="80"/>
          <w:sz w:val="24"/>
          <w:szCs w:val="24"/>
        </w:rPr>
        <w:t xml:space="preserve">Assuntos: </w:t>
      </w:r>
      <w:r w:rsidR="0016187F" w:rsidRPr="0016187F">
        <w:rPr>
          <w:color w:val="4F6228" w:themeColor="accent3" w:themeShade="80"/>
          <w:sz w:val="24"/>
          <w:szCs w:val="24"/>
        </w:rPr>
        <w:t>SISNACC</w:t>
      </w:r>
    </w:p>
    <w:p w:rsidR="0099306C" w:rsidRDefault="0099306C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 w:rsidR="0016187F">
        <w:rPr>
          <w:color w:val="4F6228" w:themeColor="accent3" w:themeShade="80"/>
          <w:sz w:val="24"/>
          <w:szCs w:val="24"/>
        </w:rPr>
        <w:t>MCTIC Bloco R sala 701</w:t>
      </w:r>
      <w:bookmarkStart w:id="0" w:name="_GoBack"/>
      <w:bookmarkEnd w:id="0"/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Participantes: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DEBAN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Artur Coimbra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Luana </w:t>
      </w:r>
      <w:proofErr w:type="spellStart"/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Rapozo</w:t>
      </w:r>
      <w:proofErr w:type="spellEnd"/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Vera Lúcia Oliveira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SETEC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Marcio Pimentel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Flávio Ferreira 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General Carlos Roberto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Madison Coelho de Almeida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ANATEL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Patrícia Leal Coutinho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Adriana (Rádio Frequência)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Tibério (licenciamento)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Agendado por </w:t>
      </w:r>
      <w:proofErr w:type="spellStart"/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Leidiane</w:t>
      </w:r>
      <w:proofErr w:type="spellEnd"/>
      <w:r w:rsidRPr="0016187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05/07. Telefone: 2027-6720.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F2294"/>
    <w:rsid w:val="001006AB"/>
    <w:rsid w:val="00127612"/>
    <w:rsid w:val="00136532"/>
    <w:rsid w:val="0016187F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664C6"/>
    <w:rsid w:val="006C1BE4"/>
    <w:rsid w:val="006E5A18"/>
    <w:rsid w:val="00710082"/>
    <w:rsid w:val="00732A72"/>
    <w:rsid w:val="00800C49"/>
    <w:rsid w:val="0099306C"/>
    <w:rsid w:val="009A2D51"/>
    <w:rsid w:val="00C865EE"/>
    <w:rsid w:val="00C901C8"/>
    <w:rsid w:val="00CA0117"/>
    <w:rsid w:val="00D001C4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8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2017-08-14T13:04:00Z</dcterms:created>
  <dcterms:modified xsi:type="dcterms:W3CDTF">2017-08-14T13:04:00Z</dcterms:modified>
</cp:coreProperties>
</file>