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60" w:rsidRPr="00136A11" w:rsidRDefault="00BD6F60" w:rsidP="005D779C">
      <w:pPr>
        <w:spacing w:after="0" w:line="240" w:lineRule="auto"/>
        <w:ind w:firstLine="1418"/>
        <w:jc w:val="both"/>
        <w:rPr>
          <w:b/>
        </w:rPr>
      </w:pPr>
    </w:p>
    <w:p w:rsidR="000A78C5" w:rsidRDefault="000A78C5" w:rsidP="005D779C">
      <w:pPr>
        <w:pStyle w:val="PargrafodaLista"/>
        <w:spacing w:after="0" w:line="240" w:lineRule="auto"/>
        <w:ind w:left="0" w:firstLine="1418"/>
        <w:rPr>
          <w:b/>
        </w:rPr>
      </w:pPr>
    </w:p>
    <w:p w:rsidR="00BD6F60" w:rsidRDefault="000A78C5" w:rsidP="005D779C">
      <w:pPr>
        <w:spacing w:after="0" w:line="240" w:lineRule="auto"/>
        <w:jc w:val="center"/>
        <w:rPr>
          <w:b/>
        </w:rPr>
      </w:pPr>
      <w:r w:rsidRPr="000A78C5">
        <w:rPr>
          <w:b/>
        </w:rPr>
        <w:t>Notas Metodológicas</w:t>
      </w:r>
    </w:p>
    <w:p w:rsidR="00D41989" w:rsidRPr="000A78C5" w:rsidRDefault="00D41989" w:rsidP="005D779C">
      <w:pPr>
        <w:spacing w:after="0" w:line="240" w:lineRule="auto"/>
        <w:jc w:val="center"/>
        <w:rPr>
          <w:b/>
        </w:rPr>
      </w:pPr>
    </w:p>
    <w:p w:rsidR="00AA17AC" w:rsidRPr="000A78C5" w:rsidRDefault="00AA17AC" w:rsidP="00AA17AC">
      <w:pPr>
        <w:pStyle w:val="PargrafodaLista"/>
        <w:spacing w:after="0" w:line="240" w:lineRule="auto"/>
        <w:ind w:left="0" w:firstLine="1418"/>
        <w:jc w:val="both"/>
      </w:pPr>
      <w:r w:rsidRPr="000A78C5">
        <w:t xml:space="preserve">Estas notas metodológicas têm como objetivos </w:t>
      </w:r>
      <w:r>
        <w:t>explicitar con</w:t>
      </w:r>
      <w:r w:rsidRPr="000A78C5">
        <w:t>ceitos</w:t>
      </w:r>
      <w:r>
        <w:t>, classificações</w:t>
      </w:r>
      <w:r w:rsidRPr="000A78C5">
        <w:t xml:space="preserve"> e estrutura do orçamento federal e, em seguida</w:t>
      </w:r>
      <w:r w:rsidR="00842BF3">
        <w:t>,</w:t>
      </w:r>
      <w:r w:rsidRPr="000A78C5">
        <w:t xml:space="preserve"> indicar, individualmente, o tratamento aplicado às tabelas orçamentárias apresentadas na subseção “Estatísticas Orçamentárias”.</w:t>
      </w:r>
    </w:p>
    <w:p w:rsidR="00AA17AC" w:rsidRDefault="00AA17AC" w:rsidP="005D779C">
      <w:pPr>
        <w:spacing w:after="0" w:line="240" w:lineRule="auto"/>
        <w:jc w:val="both"/>
        <w:rPr>
          <w:b/>
        </w:rPr>
      </w:pPr>
    </w:p>
    <w:p w:rsidR="000A78C5" w:rsidRPr="00D41989" w:rsidRDefault="00D41989" w:rsidP="005D779C">
      <w:pPr>
        <w:spacing w:after="0" w:line="240" w:lineRule="auto"/>
        <w:jc w:val="both"/>
        <w:rPr>
          <w:b/>
        </w:rPr>
      </w:pPr>
      <w:r>
        <w:rPr>
          <w:b/>
        </w:rPr>
        <w:t xml:space="preserve">Parte 1 </w:t>
      </w:r>
      <w:r w:rsidR="00D33C34">
        <w:rPr>
          <w:b/>
        </w:rPr>
        <w:t>–</w:t>
      </w:r>
      <w:r>
        <w:rPr>
          <w:b/>
        </w:rPr>
        <w:t xml:space="preserve"> </w:t>
      </w:r>
      <w:r w:rsidR="00D33C34">
        <w:rPr>
          <w:b/>
        </w:rPr>
        <w:t xml:space="preserve">Conceitos, classificações e estrutura do </w:t>
      </w:r>
      <w:proofErr w:type="gramStart"/>
      <w:r w:rsidR="00D33C34">
        <w:rPr>
          <w:b/>
        </w:rPr>
        <w:t>Orçamento</w:t>
      </w:r>
      <w:proofErr w:type="gramEnd"/>
      <w:r w:rsidR="00D33C34">
        <w:rPr>
          <w:b/>
        </w:rPr>
        <w:t xml:space="preserve"> </w:t>
      </w:r>
    </w:p>
    <w:p w:rsidR="00D41989" w:rsidRPr="000A78C5" w:rsidRDefault="00D41989" w:rsidP="005D779C">
      <w:pPr>
        <w:spacing w:after="0" w:line="240" w:lineRule="auto"/>
        <w:jc w:val="both"/>
      </w:pPr>
    </w:p>
    <w:p w:rsidR="00BD6F60" w:rsidRPr="00AA17AC" w:rsidRDefault="00AA17AC" w:rsidP="005D779C">
      <w:pPr>
        <w:pStyle w:val="PargrafodaLista"/>
        <w:spacing w:after="0" w:line="240" w:lineRule="auto"/>
        <w:ind w:left="0" w:firstLine="1418"/>
        <w:jc w:val="both"/>
      </w:pPr>
      <w:r w:rsidRPr="00AA17AC">
        <w:t>A primeira parte das notas metodológicas traz, de forma sucinta, toda a fundamentação do orçamento federal, ancorada na Lei nº 4.320/1964, na Constituição Federal de 1988, bem como nos sucessivos aperfeiçoamentos empreendidos pelo Ministério do Planejamento, Orçamento e Gestão ao longo das duas últimas décadas. Os conceitos abaixo permitem compreender os elementos constitutivos do orçamento no seu processo de elaboração, além dos estágios da execução orçamentário-financeira.</w:t>
      </w:r>
    </w:p>
    <w:p w:rsidR="00AA17AC" w:rsidRPr="00136A11" w:rsidRDefault="00AA17AC" w:rsidP="005D779C">
      <w:pPr>
        <w:pStyle w:val="PargrafodaLista"/>
        <w:spacing w:after="0" w:line="240" w:lineRule="auto"/>
        <w:ind w:left="0" w:firstLine="1418"/>
        <w:jc w:val="both"/>
        <w:rPr>
          <w:b/>
        </w:rPr>
      </w:pPr>
    </w:p>
    <w:p w:rsidR="00F92D20" w:rsidRPr="00136A11" w:rsidRDefault="00F92D20" w:rsidP="005D779C">
      <w:pPr>
        <w:pStyle w:val="PargrafodaLista"/>
        <w:numPr>
          <w:ilvl w:val="0"/>
          <w:numId w:val="4"/>
        </w:numPr>
        <w:spacing w:after="0" w:line="240" w:lineRule="auto"/>
        <w:ind w:left="0" w:firstLine="1418"/>
        <w:jc w:val="both"/>
        <w:rPr>
          <w:b/>
        </w:rPr>
      </w:pPr>
      <w:r w:rsidRPr="00136A11">
        <w:rPr>
          <w:b/>
        </w:rPr>
        <w:t>Conceito do Orçamento Público e sua evolução</w:t>
      </w:r>
    </w:p>
    <w:p w:rsidR="00BD7642" w:rsidRPr="00136A11" w:rsidRDefault="00DA3215" w:rsidP="005D779C">
      <w:pPr>
        <w:spacing w:after="0" w:line="240" w:lineRule="auto"/>
        <w:ind w:firstLine="1418"/>
        <w:jc w:val="both"/>
      </w:pPr>
      <w:r w:rsidRPr="00136A11">
        <w:t>O orçamento público se constitui em instrumento de gestão por meio do qual o governo busca organizar os seus recursos financeiros. Desta forma, o orçamento público estima a receita e fixa despesas para um determinado exercício</w:t>
      </w:r>
      <w:r w:rsidR="00842BF3">
        <w:t xml:space="preserve"> financeiro</w:t>
      </w:r>
      <w:r w:rsidRPr="00136A11">
        <w:t xml:space="preserve">. </w:t>
      </w:r>
    </w:p>
    <w:p w:rsidR="007638C5" w:rsidRDefault="00BD7642" w:rsidP="005D779C">
      <w:pPr>
        <w:spacing w:after="0" w:line="240" w:lineRule="auto"/>
        <w:ind w:firstLine="1418"/>
        <w:jc w:val="both"/>
      </w:pPr>
      <w:r w:rsidRPr="00136A11">
        <w:t xml:space="preserve">O surgimento do orçamento público </w:t>
      </w:r>
      <w:r w:rsidR="00842BF3">
        <w:t>esteve</w:t>
      </w:r>
      <w:r w:rsidRPr="00136A11">
        <w:t xml:space="preserve"> ligado originalmente </w:t>
      </w:r>
      <w:r w:rsidR="00C11D14" w:rsidRPr="00136A11">
        <w:t>à</w:t>
      </w:r>
      <w:r w:rsidRPr="00136A11">
        <w:t xml:space="preserve"> ideia de controle dos recursos públicos. </w:t>
      </w:r>
      <w:r w:rsidR="00DC65A5" w:rsidRPr="00136A11">
        <w:t>Contudo</w:t>
      </w:r>
      <w:r w:rsidR="00C06583" w:rsidRPr="00136A11">
        <w:t>, ocorre</w:t>
      </w:r>
      <w:r w:rsidR="00842BF3">
        <w:t>u</w:t>
      </w:r>
      <w:r w:rsidR="00C06583" w:rsidRPr="00136A11">
        <w:t xml:space="preserve"> uma evolução do enfoque orçamentário de forma a não só evidenciar os bens que o governo adquire, mas</w:t>
      </w:r>
      <w:r w:rsidR="00842BF3">
        <w:t>, também,</w:t>
      </w:r>
      <w:proofErr w:type="gramStart"/>
      <w:r w:rsidR="00842BF3">
        <w:t xml:space="preserve"> </w:t>
      </w:r>
      <w:r w:rsidR="00C06583" w:rsidRPr="00136A11">
        <w:t xml:space="preserve"> </w:t>
      </w:r>
      <w:proofErr w:type="gramEnd"/>
      <w:r w:rsidR="00C06583" w:rsidRPr="00136A11">
        <w:t>expressar as suas realizações. Assim, evolui</w:t>
      </w:r>
      <w:r w:rsidR="00842BF3">
        <w:t>u</w:t>
      </w:r>
      <w:r w:rsidR="00C06583" w:rsidRPr="00136A11">
        <w:t xml:space="preserve">-se para o orçamento-programa, </w:t>
      </w:r>
      <w:r w:rsidR="007F307C" w:rsidRPr="00136A11">
        <w:t>no qual</w:t>
      </w:r>
      <w:r w:rsidR="007638C5" w:rsidRPr="00136A11">
        <w:t xml:space="preserve"> se busca </w:t>
      </w:r>
      <w:r w:rsidR="007F307C" w:rsidRPr="00136A11">
        <w:t xml:space="preserve">expressar os objetivos </w:t>
      </w:r>
      <w:r w:rsidR="002254B6" w:rsidRPr="00136A11">
        <w:t>a serem perseguidos pelo governo em determinado período.</w:t>
      </w:r>
    </w:p>
    <w:p w:rsidR="00A42D20" w:rsidRPr="00136A11" w:rsidRDefault="00A42D20" w:rsidP="005D779C">
      <w:pPr>
        <w:spacing w:after="0" w:line="240" w:lineRule="auto"/>
        <w:ind w:firstLine="1418"/>
        <w:jc w:val="both"/>
      </w:pPr>
    </w:p>
    <w:p w:rsidR="007638C5" w:rsidRPr="00136A11" w:rsidRDefault="007638C5" w:rsidP="005D779C">
      <w:pPr>
        <w:pStyle w:val="PargrafodaLista"/>
        <w:numPr>
          <w:ilvl w:val="0"/>
          <w:numId w:val="4"/>
        </w:numPr>
        <w:spacing w:after="0" w:line="240" w:lineRule="auto"/>
        <w:ind w:left="0" w:firstLine="1418"/>
        <w:jc w:val="both"/>
        <w:rPr>
          <w:b/>
        </w:rPr>
      </w:pPr>
      <w:r w:rsidRPr="00136A11">
        <w:rPr>
          <w:b/>
        </w:rPr>
        <w:t>Marcos Legais</w:t>
      </w:r>
    </w:p>
    <w:p w:rsidR="00F92D20" w:rsidRPr="00136A11" w:rsidRDefault="007638C5" w:rsidP="005D779C">
      <w:pPr>
        <w:spacing w:after="0" w:line="240" w:lineRule="auto"/>
        <w:ind w:firstLine="1418"/>
        <w:jc w:val="both"/>
      </w:pPr>
      <w:r w:rsidRPr="00136A11">
        <w:t>A constituição de 1998 estabelece o desenho do ciclo orçamentário a partir de três leis de iniciativa do Poder Executivo: o Plano Plurianual (PPA), a Lei de Diretrizes Orçamentárias (LDO) e a Lei Orçamentária Anual (LOA).</w:t>
      </w:r>
    </w:p>
    <w:p w:rsidR="00A37CEC" w:rsidRPr="00136A11" w:rsidRDefault="00CB26E6" w:rsidP="005D779C">
      <w:pPr>
        <w:spacing w:after="0" w:line="240" w:lineRule="auto"/>
        <w:ind w:firstLine="1418"/>
        <w:jc w:val="both"/>
      </w:pPr>
      <w:r w:rsidRPr="00136A11">
        <w:t>O PPA</w:t>
      </w:r>
      <w:r w:rsidR="00B07C44" w:rsidRPr="00136A11">
        <w:t xml:space="preserve"> se refere ao planejamento de médio prazo da administração pública. Assim, conforme definido no artigo 165 da Constituição,</w:t>
      </w:r>
      <w:r w:rsidRPr="00136A11">
        <w:t xml:space="preserve"> </w:t>
      </w:r>
      <w:r w:rsidR="00B07C44" w:rsidRPr="00136A11">
        <w:t>“estabelecerá de forma regionalizada, as diretrizes e metas para a administração pública federal para as despesas de capital e outras delas decorrentes e para as relativas aos programas de duração continuada</w:t>
      </w:r>
      <w:r w:rsidR="007A7350" w:rsidRPr="00136A11">
        <w:t>”</w:t>
      </w:r>
      <w:r w:rsidR="00B07C44" w:rsidRPr="00136A11">
        <w:t xml:space="preserve">. </w:t>
      </w:r>
    </w:p>
    <w:p w:rsidR="002D1885" w:rsidRPr="00136A11" w:rsidRDefault="00A37CEC" w:rsidP="005D779C">
      <w:pPr>
        <w:spacing w:after="0" w:line="240" w:lineRule="auto"/>
        <w:ind w:firstLine="1418"/>
        <w:jc w:val="both"/>
      </w:pPr>
      <w:r w:rsidRPr="00136A11">
        <w:t>O</w:t>
      </w:r>
      <w:r w:rsidR="00B07C44" w:rsidRPr="00136A11">
        <w:t xml:space="preserve"> PPA </w:t>
      </w:r>
      <w:r w:rsidRPr="00136A11">
        <w:t xml:space="preserve">deve ser enviado até 31 de agosto ao Congresso e devolvido para a sanção até o encerramento da sessão legislativa. </w:t>
      </w:r>
      <w:r w:rsidR="00842BF3">
        <w:t>O</w:t>
      </w:r>
      <w:r w:rsidRPr="00136A11">
        <w:t xml:space="preserve"> PPA </w:t>
      </w:r>
      <w:r w:rsidR="00842BF3">
        <w:t>tem</w:t>
      </w:r>
      <w:r w:rsidR="00CB26E6" w:rsidRPr="00136A11">
        <w:t xml:space="preserve"> duração de </w:t>
      </w:r>
      <w:proofErr w:type="gramStart"/>
      <w:r w:rsidR="00CB26E6" w:rsidRPr="00136A11">
        <w:t>4</w:t>
      </w:r>
      <w:proofErr w:type="gramEnd"/>
      <w:r w:rsidR="00CB26E6" w:rsidRPr="00136A11">
        <w:t xml:space="preserve"> anos</w:t>
      </w:r>
      <w:r w:rsidR="00B07C44" w:rsidRPr="00136A11">
        <w:t>, sendo elaborado</w:t>
      </w:r>
      <w:r w:rsidRPr="00136A11">
        <w:t xml:space="preserve"> no primeiro ano de mandato do governo eleito e tem vigência a partir do segundo ano de mandato.</w:t>
      </w:r>
      <w:r w:rsidR="00C06583" w:rsidRPr="00136A11">
        <w:t xml:space="preserve">  </w:t>
      </w:r>
    </w:p>
    <w:p w:rsidR="002C3815" w:rsidRPr="00136A11" w:rsidRDefault="002D1885" w:rsidP="005D779C">
      <w:pPr>
        <w:spacing w:after="0" w:line="240" w:lineRule="auto"/>
        <w:ind w:firstLine="1418"/>
        <w:jc w:val="both"/>
      </w:pPr>
      <w:r w:rsidRPr="00136A11">
        <w:t xml:space="preserve">A LDO orienta a elaboração orçamentária por meio da definição das prioridades e metas do PPA para o exercício financeiro subsequente. Ademais, </w:t>
      </w:r>
      <w:r w:rsidR="00842BF3">
        <w:t>dispõe</w:t>
      </w:r>
      <w:r w:rsidR="00B44894" w:rsidRPr="00136A11">
        <w:t xml:space="preserve"> sobre as alterações na legislação tributária,</w:t>
      </w:r>
      <w:r w:rsidR="00842BF3">
        <w:t xml:space="preserve"> orienta</w:t>
      </w:r>
      <w:r w:rsidR="00B3095D" w:rsidRPr="00136A11">
        <w:t xml:space="preserve"> a elaboração da LOA</w:t>
      </w:r>
      <w:r w:rsidR="00842BF3">
        <w:t xml:space="preserve"> e estabelece</w:t>
      </w:r>
      <w:r w:rsidR="00B44894" w:rsidRPr="00136A11">
        <w:t xml:space="preserve"> a política de aplicação das agências financeiras oficiais de fomento.</w:t>
      </w:r>
    </w:p>
    <w:p w:rsidR="00D41989" w:rsidRPr="00136A11" w:rsidRDefault="002C3815" w:rsidP="005D779C">
      <w:pPr>
        <w:spacing w:after="0" w:line="240" w:lineRule="auto"/>
        <w:ind w:firstLine="1418"/>
        <w:jc w:val="both"/>
      </w:pPr>
      <w:r w:rsidRPr="00136A11">
        <w:t>A LOA estabelece as</w:t>
      </w:r>
      <w:r w:rsidR="00DA3215" w:rsidRPr="00136A11">
        <w:t xml:space="preserve"> </w:t>
      </w:r>
      <w:r w:rsidR="007A7350" w:rsidRPr="00136A11">
        <w:t>receitas estimadas e as despesas que serão realizadas no exercício financeiro subsequente. Desta forma, a LOA busca concretizar</w:t>
      </w:r>
      <w:r w:rsidR="003D0FF5" w:rsidRPr="00136A11">
        <w:t>, ano a ano,</w:t>
      </w:r>
      <w:r w:rsidR="007A7350" w:rsidRPr="00136A11">
        <w:t xml:space="preserve"> os objetivos e metas estabelecidos pelo PPA, a partir das diretrizes estabelecidas pela LDO.</w:t>
      </w:r>
    </w:p>
    <w:p w:rsidR="000A213F" w:rsidRPr="00136A11" w:rsidRDefault="000A213F" w:rsidP="005D779C">
      <w:pPr>
        <w:spacing w:after="0" w:line="240" w:lineRule="auto"/>
        <w:ind w:firstLine="1418"/>
        <w:jc w:val="both"/>
      </w:pPr>
      <w:r w:rsidRPr="00136A11">
        <w:t xml:space="preserve">A </w:t>
      </w:r>
      <w:r w:rsidR="00981753" w:rsidRPr="00136A11">
        <w:t>LOA</w:t>
      </w:r>
      <w:r w:rsidRPr="00136A11">
        <w:t xml:space="preserve"> compreenderá:</w:t>
      </w:r>
    </w:p>
    <w:p w:rsidR="000A213F" w:rsidRPr="00136A11" w:rsidRDefault="000A213F" w:rsidP="005D779C">
      <w:pPr>
        <w:pStyle w:val="PargrafodaLista"/>
        <w:numPr>
          <w:ilvl w:val="0"/>
          <w:numId w:val="3"/>
        </w:numPr>
        <w:spacing w:after="0" w:line="240" w:lineRule="auto"/>
        <w:ind w:left="0" w:firstLine="1418"/>
        <w:jc w:val="both"/>
      </w:pPr>
      <w:r w:rsidRPr="00136A11">
        <w:t xml:space="preserve">Orçamento </w:t>
      </w:r>
      <w:r w:rsidR="0014025C" w:rsidRPr="00136A11">
        <w:t>F</w:t>
      </w:r>
      <w:r w:rsidRPr="00136A11">
        <w:t xml:space="preserve">iscal: </w:t>
      </w:r>
      <w:proofErr w:type="gramStart"/>
      <w:r w:rsidR="0014025C" w:rsidRPr="00136A11">
        <w:t>refere-se</w:t>
      </w:r>
      <w:proofErr w:type="gramEnd"/>
      <w:r w:rsidR="0014025C" w:rsidRPr="00136A11">
        <w:t xml:space="preserve"> ao orçamento dos Poderes da União,</w:t>
      </w:r>
      <w:r w:rsidRPr="00136A11">
        <w:t xml:space="preserve"> seus fundos, órgãos e entidades da administração direta e indireta, inclusive fundações instituídas e mantidas pelo Poder Público;</w:t>
      </w:r>
    </w:p>
    <w:p w:rsidR="0014025C" w:rsidRDefault="0014025C" w:rsidP="005D779C">
      <w:pPr>
        <w:pStyle w:val="PargrafodaLista"/>
        <w:numPr>
          <w:ilvl w:val="0"/>
          <w:numId w:val="3"/>
        </w:numPr>
        <w:spacing w:after="0" w:line="240" w:lineRule="auto"/>
        <w:ind w:left="0" w:firstLine="1418"/>
        <w:jc w:val="both"/>
      </w:pPr>
      <w:r w:rsidRPr="00136A11">
        <w:t xml:space="preserve">Orçamento da Seguridade Social: </w:t>
      </w:r>
      <w:proofErr w:type="gramStart"/>
      <w:r w:rsidRPr="00136A11">
        <w:t>abrange</w:t>
      </w:r>
      <w:proofErr w:type="gramEnd"/>
      <w:r w:rsidRPr="00136A11">
        <w:t xml:space="preserve"> todas as entidades e órgãos, fundos e fundações de administração direta e indireta, instituídos e mantidos pelo Poder Público, vinculados à Seguridade Social;</w:t>
      </w:r>
    </w:p>
    <w:p w:rsidR="00AA17AC" w:rsidRDefault="00AA17AC" w:rsidP="00AA17AC">
      <w:pPr>
        <w:pStyle w:val="PargrafodaLista"/>
        <w:spacing w:after="0" w:line="240" w:lineRule="auto"/>
        <w:ind w:left="1418"/>
        <w:jc w:val="both"/>
      </w:pPr>
    </w:p>
    <w:p w:rsidR="00AA17AC" w:rsidRPr="00136A11" w:rsidRDefault="00AA17AC" w:rsidP="00AA17AC">
      <w:pPr>
        <w:pStyle w:val="PargrafodaLista"/>
        <w:spacing w:after="0" w:line="240" w:lineRule="auto"/>
        <w:ind w:left="1418"/>
        <w:jc w:val="both"/>
      </w:pPr>
    </w:p>
    <w:p w:rsidR="00041D16" w:rsidRDefault="0014025C" w:rsidP="005D779C">
      <w:pPr>
        <w:pStyle w:val="PargrafodaLista"/>
        <w:numPr>
          <w:ilvl w:val="0"/>
          <w:numId w:val="3"/>
        </w:numPr>
        <w:spacing w:after="0" w:line="240" w:lineRule="auto"/>
        <w:ind w:left="0" w:firstLine="1418"/>
        <w:jc w:val="both"/>
      </w:pPr>
      <w:r w:rsidRPr="00136A11">
        <w:t>O</w:t>
      </w:r>
      <w:r w:rsidR="000A213F" w:rsidRPr="00136A11">
        <w:t xml:space="preserve">rçamento de </w:t>
      </w:r>
      <w:r w:rsidRPr="00136A11">
        <w:t>I</w:t>
      </w:r>
      <w:r w:rsidR="000A213F" w:rsidRPr="00136A11">
        <w:t xml:space="preserve">nvestimento das </w:t>
      </w:r>
      <w:r w:rsidRPr="00136A11">
        <w:t>E</w:t>
      </w:r>
      <w:r w:rsidR="000A213F" w:rsidRPr="00136A11">
        <w:t>mpresas</w:t>
      </w:r>
      <w:r w:rsidRPr="00136A11">
        <w:t xml:space="preserve"> Estatais: refere-se ao orçamento das empresas em que a União, direta ou indiretamente, detenha</w:t>
      </w:r>
      <w:r w:rsidR="000A213F" w:rsidRPr="00136A11">
        <w:t xml:space="preserve"> a maioria do capital social com direito a voto;</w:t>
      </w:r>
    </w:p>
    <w:p w:rsidR="00A42D20" w:rsidRDefault="00A42D20" w:rsidP="00D41989">
      <w:pPr>
        <w:pStyle w:val="PargrafodaLista"/>
        <w:spacing w:after="0" w:line="240" w:lineRule="auto"/>
        <w:ind w:left="1418"/>
        <w:jc w:val="both"/>
      </w:pPr>
    </w:p>
    <w:p w:rsidR="006352D2" w:rsidRPr="00136A11" w:rsidRDefault="006352D2" w:rsidP="005D779C">
      <w:pPr>
        <w:pStyle w:val="PargrafodaLista"/>
        <w:numPr>
          <w:ilvl w:val="0"/>
          <w:numId w:val="4"/>
        </w:numPr>
        <w:spacing w:after="0" w:line="240" w:lineRule="auto"/>
        <w:ind w:left="0" w:firstLine="1418"/>
        <w:jc w:val="both"/>
        <w:rPr>
          <w:b/>
        </w:rPr>
      </w:pPr>
      <w:r w:rsidRPr="00136A11">
        <w:rPr>
          <w:b/>
        </w:rPr>
        <w:t>O Processo Orçamentário</w:t>
      </w:r>
    </w:p>
    <w:p w:rsidR="006352D2" w:rsidRPr="00136A11" w:rsidRDefault="006352D2" w:rsidP="005D779C">
      <w:pPr>
        <w:spacing w:after="0" w:line="240" w:lineRule="auto"/>
        <w:ind w:firstLine="1418"/>
        <w:jc w:val="both"/>
      </w:pPr>
      <w:r w:rsidRPr="00136A11">
        <w:t xml:space="preserve">O projeto da Lei Orçamentária Anual, após sua elaboração, é enviado para a apreciação do Congresso Nacional (Câmara dos Deputados e Senado Federal). Por sua vez, o Congresso pode propor emendas ao projeto que segue para a sanção presidencial. Neste caso, o Presidente pode </w:t>
      </w:r>
      <w:proofErr w:type="gramStart"/>
      <w:r w:rsidRPr="00136A11">
        <w:t>aprovar,</w:t>
      </w:r>
      <w:proofErr w:type="gramEnd"/>
      <w:r w:rsidRPr="00136A11">
        <w:t xml:space="preserve"> vetar parcialmente ou vetar integralmente. Caso haja veto, deverá ocorrer sessão conjunta da Câmara e Sena</w:t>
      </w:r>
      <w:r w:rsidR="00E11C83" w:rsidRPr="00136A11">
        <w:t>do que pode acatar ou</w:t>
      </w:r>
      <w:r w:rsidRPr="00136A11">
        <w:t xml:space="preserve"> rejeitá-lo. Por fim, o projeto será encaminhado ao Presidente da República para promulgação.</w:t>
      </w:r>
    </w:p>
    <w:p w:rsidR="00E04806" w:rsidRDefault="00E04806" w:rsidP="005D779C">
      <w:pPr>
        <w:spacing w:after="0" w:line="240" w:lineRule="auto"/>
        <w:ind w:firstLine="1418"/>
        <w:jc w:val="both"/>
      </w:pPr>
    </w:p>
    <w:p w:rsidR="007E5DF6" w:rsidRPr="00136A11" w:rsidRDefault="006352D2" w:rsidP="005D779C">
      <w:pPr>
        <w:spacing w:after="0" w:line="240" w:lineRule="auto"/>
        <w:ind w:firstLine="1418"/>
        <w:jc w:val="both"/>
      </w:pPr>
      <w:r w:rsidRPr="00136A11">
        <w:t xml:space="preserve">A fase de execução do orçamento começa após a sanção e publicação da LOA. </w:t>
      </w:r>
      <w:r w:rsidR="007E5DF6" w:rsidRPr="00136A11">
        <w:t>Desta forma, a execução orçamentária tem de seguir necessariamente três estágios</w:t>
      </w:r>
      <w:r w:rsidR="00DF7BE6" w:rsidRPr="00136A11">
        <w:t>:</w:t>
      </w:r>
      <w:r w:rsidR="007E5DF6" w:rsidRPr="00136A11">
        <w:t xml:space="preserve"> empenho, liquidação e pagamento.</w:t>
      </w:r>
    </w:p>
    <w:p w:rsidR="006352D2" w:rsidRPr="00136A11" w:rsidRDefault="007E5DF6" w:rsidP="005D779C">
      <w:pPr>
        <w:spacing w:after="0" w:line="240" w:lineRule="auto"/>
        <w:ind w:firstLine="1418"/>
        <w:jc w:val="both"/>
      </w:pPr>
      <w:r w:rsidRPr="00136A11">
        <w:t xml:space="preserve">O empenho é </w:t>
      </w:r>
      <w:r w:rsidR="00494D9A" w:rsidRPr="00136A11">
        <w:t>o</w:t>
      </w:r>
      <w:r w:rsidRPr="00136A11">
        <w:t xml:space="preserve"> primeiro estágio da despesa e cria, para o Estado, a obrigação de pagamento, pendente ou não, de </w:t>
      </w:r>
      <w:proofErr w:type="gramStart"/>
      <w:r w:rsidRPr="00136A11">
        <w:t>implemento</w:t>
      </w:r>
      <w:proofErr w:type="gramEnd"/>
      <w:r w:rsidRPr="00136A11">
        <w:t xml:space="preserve"> de condição. Por sua vez, a</w:t>
      </w:r>
      <w:r w:rsidR="006352D2" w:rsidRPr="00136A11">
        <w:t xml:space="preserve"> </w:t>
      </w:r>
      <w:r w:rsidRPr="00136A11">
        <w:t>liquidação é o segundo estágio da despesa pública que consiste na verificação do direito adquirido pelo credor com base nos títulos e documentos atestados, os quais comprovem a entrega do material ou a prestação do serviço.</w:t>
      </w:r>
      <w:r w:rsidR="006352D2" w:rsidRPr="00136A11">
        <w:t xml:space="preserve"> </w:t>
      </w:r>
      <w:r w:rsidR="00886EDD" w:rsidRPr="00136A11">
        <w:t xml:space="preserve">Por fim, o último estágio se refere ao pagamento e consiste na entrega de numerário ao credor do Estado, o que extingue o débito ou a obrigação. </w:t>
      </w:r>
    </w:p>
    <w:p w:rsidR="005B4AE8" w:rsidRPr="00136A11" w:rsidRDefault="005B4AE8" w:rsidP="005D779C">
      <w:pPr>
        <w:spacing w:after="0" w:line="240" w:lineRule="auto"/>
        <w:ind w:firstLine="1418"/>
        <w:jc w:val="both"/>
      </w:pPr>
      <w:r w:rsidRPr="00136A11">
        <w:t>Cabe ainda observar que durante a execução orçamentária, algumas alterações no orçamento são necessárias</w:t>
      </w:r>
      <w:r w:rsidR="00842BF3">
        <w:t>,</w:t>
      </w:r>
      <w:r w:rsidRPr="00136A11">
        <w:t xml:space="preserve"> devido a fatos novos e relevantes, o que leva o setor público a intervir na programação da despesa estabelecida inicialmente pela LOA. Desta forma, a LOA poderá ser alterada por meio de créditos adicionais no decorrer da sua execução.</w:t>
      </w:r>
    </w:p>
    <w:p w:rsidR="005B4AE8" w:rsidRPr="00136A11" w:rsidRDefault="005B4AE8" w:rsidP="005D779C">
      <w:pPr>
        <w:spacing w:after="0" w:line="240" w:lineRule="auto"/>
        <w:ind w:firstLine="1418"/>
        <w:jc w:val="both"/>
      </w:pPr>
      <w:r w:rsidRPr="00136A11">
        <w:t>Os créditos adicionais classificam-se em:</w:t>
      </w:r>
    </w:p>
    <w:p w:rsidR="005B4AE8" w:rsidRPr="00136A11" w:rsidRDefault="005B4AE8" w:rsidP="005D779C">
      <w:pPr>
        <w:spacing w:after="0" w:line="240" w:lineRule="auto"/>
        <w:ind w:firstLine="1418"/>
        <w:jc w:val="both"/>
      </w:pPr>
      <w:r w:rsidRPr="00136A11">
        <w:rPr>
          <w:b/>
        </w:rPr>
        <w:t>Créditos especiais:</w:t>
      </w:r>
      <w:r w:rsidRPr="00136A11">
        <w:t xml:space="preserve"> destinados </w:t>
      </w:r>
      <w:r w:rsidR="00842BF3">
        <w:t>à</w:t>
      </w:r>
      <w:r w:rsidRPr="00136A11">
        <w:t>s despesas sem dotação orçamentária específica e devem ser autorizados por lei.</w:t>
      </w:r>
    </w:p>
    <w:p w:rsidR="005B4AE8" w:rsidRPr="00136A11" w:rsidRDefault="005B4AE8" w:rsidP="005D779C">
      <w:pPr>
        <w:spacing w:after="0" w:line="240" w:lineRule="auto"/>
        <w:ind w:firstLine="1418"/>
        <w:jc w:val="both"/>
      </w:pPr>
      <w:r w:rsidRPr="00136A11">
        <w:rPr>
          <w:b/>
        </w:rPr>
        <w:t>Créditos extraordinários:</w:t>
      </w:r>
      <w:r w:rsidRPr="00136A11">
        <w:t xml:space="preserve"> destinados </w:t>
      </w:r>
      <w:r w:rsidR="00D33C34">
        <w:t>às</w:t>
      </w:r>
      <w:r w:rsidRPr="00136A11">
        <w:t xml:space="preserve"> despesas urgentes e não previstas</w:t>
      </w:r>
      <w:r w:rsidR="00842BF3">
        <w:t>,</w:t>
      </w:r>
      <w:r w:rsidRPr="00136A11">
        <w:t xml:space="preserve"> como guerra ou calamidade pública</w:t>
      </w:r>
      <w:r w:rsidR="00842BF3">
        <w:t>,</w:t>
      </w:r>
      <w:r w:rsidRPr="00136A11">
        <w:t xml:space="preserve"> e serão abertos por Medida Provisória no governo federal e por decreto do Poder Executivo para os demais entes.</w:t>
      </w:r>
    </w:p>
    <w:p w:rsidR="00594519" w:rsidRDefault="005B4AE8" w:rsidP="005D779C">
      <w:pPr>
        <w:spacing w:after="0" w:line="240" w:lineRule="auto"/>
        <w:ind w:firstLine="1418"/>
        <w:jc w:val="both"/>
      </w:pPr>
      <w:r w:rsidRPr="00136A11">
        <w:rPr>
          <w:b/>
        </w:rPr>
        <w:t>Créditos Suplementares:</w:t>
      </w:r>
      <w:r w:rsidRPr="00136A11">
        <w:t xml:space="preserve"> destinados ao reforço de dotação orçamentária. Neste caso, a LOA poderá conter autorização ao Poder Executivo para abertura de créditos suplementares até determinada importância ou percentual.</w:t>
      </w:r>
    </w:p>
    <w:p w:rsidR="00A42D20" w:rsidRPr="00136A11" w:rsidRDefault="00A42D20" w:rsidP="005D779C">
      <w:pPr>
        <w:spacing w:after="0" w:line="240" w:lineRule="auto"/>
        <w:ind w:firstLine="1418"/>
        <w:jc w:val="both"/>
      </w:pPr>
    </w:p>
    <w:p w:rsidR="000A213F" w:rsidRPr="00136A11" w:rsidRDefault="00041D16" w:rsidP="005D779C">
      <w:pPr>
        <w:pStyle w:val="PargrafodaLista"/>
        <w:numPr>
          <w:ilvl w:val="0"/>
          <w:numId w:val="4"/>
        </w:numPr>
        <w:spacing w:after="0" w:line="240" w:lineRule="auto"/>
        <w:ind w:left="0" w:firstLine="1418"/>
        <w:jc w:val="both"/>
        <w:rPr>
          <w:b/>
        </w:rPr>
      </w:pPr>
      <w:r w:rsidRPr="00136A11">
        <w:rPr>
          <w:b/>
        </w:rPr>
        <w:t>Classificações Orçamentárias das Despesas</w:t>
      </w:r>
    </w:p>
    <w:p w:rsidR="00362A5C" w:rsidRPr="00136A11" w:rsidRDefault="00041D16" w:rsidP="005D779C">
      <w:pPr>
        <w:spacing w:after="0" w:line="240" w:lineRule="auto"/>
        <w:ind w:firstLine="1418"/>
        <w:jc w:val="both"/>
      </w:pPr>
      <w:r w:rsidRPr="00136A11">
        <w:t xml:space="preserve">As despesas públicas são classificadas de acordo com vários aspectos. Desta forma, o sistema de classificação das despesas orçamentárias tem como objetivo </w:t>
      </w:r>
      <w:r w:rsidR="001A3E12" w:rsidRPr="00136A11">
        <w:t xml:space="preserve">obter informações que são essenciais para a análise do gasto público.  Assim, a classificação orçamentária atende </w:t>
      </w:r>
      <w:r w:rsidR="00D33C34">
        <w:t>à</w:t>
      </w:r>
      <w:r w:rsidR="001A3E12" w:rsidRPr="00136A11">
        <w:t xml:space="preserve">s demandas de informação </w:t>
      </w:r>
      <w:r w:rsidR="002A4EF1" w:rsidRPr="00136A11">
        <w:t>dos poderes públicos, organizações públicas e privadas e a sociedade em geral.</w:t>
      </w:r>
    </w:p>
    <w:p w:rsidR="00736E14" w:rsidRPr="00136A11" w:rsidRDefault="00736E14" w:rsidP="005D779C">
      <w:pPr>
        <w:spacing w:after="0" w:line="240" w:lineRule="auto"/>
        <w:ind w:firstLine="1418"/>
        <w:jc w:val="both"/>
      </w:pPr>
      <w:r w:rsidRPr="00136A11">
        <w:t>As</w:t>
      </w:r>
      <w:r w:rsidR="009D74EE" w:rsidRPr="00136A11">
        <w:t xml:space="preserve"> despesas orçamentárias, confor</w:t>
      </w:r>
      <w:r w:rsidR="00442976" w:rsidRPr="00136A11">
        <w:t>me</w:t>
      </w:r>
      <w:r w:rsidR="00854FC8" w:rsidRPr="00136A11">
        <w:t xml:space="preserve"> o Manual Técnico do Orçamento (MTO) da Secretária de Orçamento Federal (SOF)</w:t>
      </w:r>
      <w:proofErr w:type="gramStart"/>
      <w:r w:rsidR="00442976" w:rsidRPr="00136A11">
        <w:t>, obedecem</w:t>
      </w:r>
      <w:proofErr w:type="gramEnd"/>
      <w:r w:rsidR="00442976" w:rsidRPr="00136A11">
        <w:t xml:space="preserve"> </w:t>
      </w:r>
      <w:r w:rsidR="00D33C34">
        <w:t>à</w:t>
      </w:r>
      <w:r w:rsidR="00442976" w:rsidRPr="00136A11">
        <w:t xml:space="preserve">s </w:t>
      </w:r>
      <w:r w:rsidR="00D33C34">
        <w:t xml:space="preserve">seguintes </w:t>
      </w:r>
      <w:r w:rsidR="00442976" w:rsidRPr="00136A11">
        <w:t>classificações:</w:t>
      </w:r>
      <w:r w:rsidR="00E64CCE" w:rsidRPr="00136A11">
        <w:t xml:space="preserve"> por </w:t>
      </w:r>
      <w:r w:rsidR="00442976" w:rsidRPr="00136A11">
        <w:t xml:space="preserve">esfera, institucional, funcional, programática, </w:t>
      </w:r>
      <w:r w:rsidR="00310FF0" w:rsidRPr="00136A11">
        <w:t>natureza da despesa, identificador de uso</w:t>
      </w:r>
      <w:r w:rsidR="000165CB" w:rsidRPr="00136A11">
        <w:t xml:space="preserve">, </w:t>
      </w:r>
      <w:r w:rsidR="00310FF0" w:rsidRPr="00136A11">
        <w:t>fontes de recursos</w:t>
      </w:r>
      <w:r w:rsidR="000165CB" w:rsidRPr="00136A11">
        <w:t>, identificador de doação e de operação de crédito e identificador de resultado primário.</w:t>
      </w:r>
    </w:p>
    <w:p w:rsidR="00594519" w:rsidRDefault="00854FC8" w:rsidP="005D779C">
      <w:pPr>
        <w:spacing w:after="0" w:line="240" w:lineRule="auto"/>
        <w:ind w:firstLine="1418"/>
        <w:jc w:val="both"/>
      </w:pPr>
      <w:r w:rsidRPr="00136A11">
        <w:t>As classificações orçamentárias da</w:t>
      </w:r>
      <w:r w:rsidR="00D33C34">
        <w:t>s</w:t>
      </w:r>
      <w:r w:rsidRPr="00136A11">
        <w:t xml:space="preserve"> despesa</w:t>
      </w:r>
      <w:r w:rsidR="00D33C34">
        <w:t>s</w:t>
      </w:r>
      <w:r w:rsidR="00E64CCE" w:rsidRPr="00136A11">
        <w:t xml:space="preserve"> elencadas anteriormente </w:t>
      </w:r>
      <w:r w:rsidRPr="00136A11">
        <w:t xml:space="preserve">visam responder </w:t>
      </w:r>
      <w:r w:rsidR="00ED73A3">
        <w:t>à</w:t>
      </w:r>
      <w:r w:rsidR="00ED73A3" w:rsidRPr="00136A11">
        <w:t xml:space="preserve">s </w:t>
      </w:r>
      <w:r w:rsidRPr="00136A11">
        <w:t>principais indagações que surgem em relação ao gasto orçamentário. Desta forma, a cada uma das perguntas corresponde uma classificação</w:t>
      </w:r>
      <w:r w:rsidR="00AE69E1" w:rsidRPr="00136A11">
        <w:t>, con</w:t>
      </w:r>
      <w:r w:rsidR="005B4AE8" w:rsidRPr="00136A11">
        <w:t>forme ilustra o quadro a seguir.</w:t>
      </w:r>
    </w:p>
    <w:p w:rsidR="00ED73A3" w:rsidRDefault="00ED73A3" w:rsidP="005D779C">
      <w:pPr>
        <w:spacing w:after="0" w:line="240" w:lineRule="auto"/>
        <w:ind w:firstLine="1418"/>
        <w:jc w:val="both"/>
      </w:pPr>
    </w:p>
    <w:p w:rsidR="000A78C5" w:rsidRDefault="000A78C5" w:rsidP="005D779C">
      <w:pPr>
        <w:spacing w:after="0" w:line="240" w:lineRule="auto"/>
        <w:ind w:firstLine="1418"/>
        <w:jc w:val="both"/>
      </w:pPr>
    </w:p>
    <w:p w:rsidR="000A78C5" w:rsidRDefault="000A78C5" w:rsidP="005D779C">
      <w:pPr>
        <w:spacing w:after="0" w:line="240" w:lineRule="auto"/>
        <w:ind w:firstLine="1418"/>
        <w:jc w:val="both"/>
      </w:pPr>
    </w:p>
    <w:p w:rsidR="000A78C5" w:rsidRDefault="000A78C5" w:rsidP="005D779C">
      <w:pPr>
        <w:spacing w:after="0" w:line="240" w:lineRule="auto"/>
        <w:ind w:firstLine="1418"/>
        <w:jc w:val="both"/>
      </w:pPr>
    </w:p>
    <w:tbl>
      <w:tblPr>
        <w:tblW w:w="9371" w:type="dxa"/>
        <w:tblInd w:w="55" w:type="dxa"/>
        <w:tblCellMar>
          <w:left w:w="70" w:type="dxa"/>
          <w:right w:w="70" w:type="dxa"/>
        </w:tblCellMar>
        <w:tblLook w:val="04A0" w:firstRow="1" w:lastRow="0" w:firstColumn="1" w:lastColumn="0" w:noHBand="0" w:noVBand="1"/>
      </w:tblPr>
      <w:tblGrid>
        <w:gridCol w:w="2520"/>
        <w:gridCol w:w="3660"/>
        <w:gridCol w:w="3191"/>
      </w:tblGrid>
      <w:tr w:rsidR="00176FAC" w:rsidRPr="00136A11" w:rsidTr="000A78C5">
        <w:trPr>
          <w:trHeight w:val="300"/>
        </w:trPr>
        <w:tc>
          <w:tcPr>
            <w:tcW w:w="9371" w:type="dxa"/>
            <w:gridSpan w:val="3"/>
            <w:tcBorders>
              <w:top w:val="single" w:sz="4" w:space="0" w:color="auto"/>
              <w:left w:val="single" w:sz="4" w:space="0" w:color="auto"/>
              <w:bottom w:val="single" w:sz="4" w:space="0" w:color="auto"/>
              <w:right w:val="single" w:sz="4" w:space="0" w:color="auto"/>
            </w:tcBorders>
            <w:shd w:val="clear" w:color="000000" w:fill="D6E3BC"/>
            <w:vAlign w:val="center"/>
            <w:hideMark/>
          </w:tcPr>
          <w:p w:rsidR="00176FAC" w:rsidRPr="000A78C5" w:rsidRDefault="00176FAC" w:rsidP="005D779C">
            <w:pPr>
              <w:spacing w:after="0" w:line="240" w:lineRule="auto"/>
              <w:ind w:firstLine="1418"/>
              <w:jc w:val="center"/>
              <w:rPr>
                <w:rFonts w:eastAsia="Times New Roman" w:cs="Arial"/>
                <w:b/>
                <w:color w:val="000000"/>
                <w:lang w:eastAsia="pt-BR"/>
              </w:rPr>
            </w:pPr>
            <w:r w:rsidRPr="000A78C5">
              <w:rPr>
                <w:rFonts w:eastAsia="Times New Roman" w:cs="Arial"/>
                <w:b/>
                <w:color w:val="000000"/>
                <w:lang w:eastAsia="pt-BR"/>
              </w:rPr>
              <w:t>Programação Qualitativa</w:t>
            </w:r>
          </w:p>
        </w:tc>
      </w:tr>
      <w:tr w:rsidR="00176FAC" w:rsidRPr="00136A11" w:rsidTr="000A78C5">
        <w:trPr>
          <w:trHeight w:val="300"/>
        </w:trPr>
        <w:tc>
          <w:tcPr>
            <w:tcW w:w="2520" w:type="dxa"/>
            <w:tcBorders>
              <w:top w:val="nil"/>
              <w:left w:val="single" w:sz="4" w:space="0" w:color="auto"/>
              <w:bottom w:val="single" w:sz="4" w:space="0" w:color="auto"/>
              <w:right w:val="single" w:sz="4" w:space="0" w:color="auto"/>
            </w:tcBorders>
            <w:shd w:val="clear" w:color="000000" w:fill="D6E3BC"/>
            <w:vAlign w:val="center"/>
            <w:hideMark/>
          </w:tcPr>
          <w:p w:rsidR="00176FAC" w:rsidRPr="00136A11" w:rsidRDefault="00176FAC" w:rsidP="005D779C">
            <w:pPr>
              <w:spacing w:after="0" w:line="240" w:lineRule="auto"/>
              <w:jc w:val="center"/>
              <w:rPr>
                <w:rFonts w:eastAsia="Times New Roman" w:cs="Arial"/>
                <w:color w:val="000000"/>
                <w:lang w:eastAsia="pt-BR"/>
              </w:rPr>
            </w:pPr>
            <w:r w:rsidRPr="00136A11">
              <w:rPr>
                <w:rFonts w:eastAsia="Times New Roman" w:cs="Arial"/>
                <w:color w:val="000000"/>
                <w:lang w:eastAsia="pt-BR"/>
              </w:rPr>
              <w:t>Bloco de Estrutura</w:t>
            </w:r>
          </w:p>
        </w:tc>
        <w:tc>
          <w:tcPr>
            <w:tcW w:w="3660" w:type="dxa"/>
            <w:tcBorders>
              <w:top w:val="nil"/>
              <w:left w:val="nil"/>
              <w:bottom w:val="single" w:sz="4" w:space="0" w:color="auto"/>
              <w:right w:val="single" w:sz="4" w:space="0" w:color="auto"/>
            </w:tcBorders>
            <w:shd w:val="clear" w:color="000000" w:fill="D6E3BC"/>
            <w:vAlign w:val="center"/>
            <w:hideMark/>
          </w:tcPr>
          <w:p w:rsidR="00176FAC" w:rsidRPr="00136A11" w:rsidRDefault="00176FAC" w:rsidP="005D779C">
            <w:pPr>
              <w:spacing w:after="0" w:line="240" w:lineRule="auto"/>
              <w:jc w:val="center"/>
              <w:rPr>
                <w:rFonts w:eastAsia="Times New Roman" w:cs="Arial"/>
                <w:color w:val="000000"/>
                <w:lang w:eastAsia="pt-BR"/>
              </w:rPr>
            </w:pPr>
            <w:r w:rsidRPr="00136A11">
              <w:rPr>
                <w:rFonts w:eastAsia="Times New Roman" w:cs="Arial"/>
                <w:color w:val="000000"/>
                <w:lang w:eastAsia="pt-BR"/>
              </w:rPr>
              <w:t>Item de Estrutura</w:t>
            </w:r>
          </w:p>
        </w:tc>
        <w:tc>
          <w:tcPr>
            <w:tcW w:w="3191" w:type="dxa"/>
            <w:tcBorders>
              <w:top w:val="nil"/>
              <w:left w:val="nil"/>
              <w:bottom w:val="single" w:sz="4" w:space="0" w:color="auto"/>
              <w:right w:val="single" w:sz="4" w:space="0" w:color="auto"/>
            </w:tcBorders>
            <w:shd w:val="clear" w:color="000000" w:fill="D6E3BC"/>
            <w:vAlign w:val="center"/>
            <w:hideMark/>
          </w:tcPr>
          <w:p w:rsidR="00176FAC" w:rsidRPr="00136A11" w:rsidRDefault="00176FAC" w:rsidP="005D779C">
            <w:pPr>
              <w:spacing w:after="0" w:line="240" w:lineRule="auto"/>
              <w:jc w:val="center"/>
              <w:rPr>
                <w:rFonts w:eastAsia="Times New Roman" w:cs="Arial"/>
                <w:color w:val="000000"/>
                <w:lang w:eastAsia="pt-BR"/>
              </w:rPr>
            </w:pPr>
            <w:r w:rsidRPr="00136A11">
              <w:rPr>
                <w:rFonts w:eastAsia="Times New Roman" w:cs="Arial"/>
                <w:color w:val="000000"/>
                <w:lang w:eastAsia="pt-BR"/>
              </w:rPr>
              <w:t>Pergunta a ser respondida</w:t>
            </w:r>
          </w:p>
        </w:tc>
      </w:tr>
      <w:tr w:rsidR="00176FAC" w:rsidRPr="00136A11" w:rsidTr="000A78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rPr>
                <w:rFonts w:eastAsia="Times New Roman" w:cs="Calibri"/>
                <w:color w:val="000000"/>
                <w:lang w:eastAsia="pt-BR"/>
              </w:rPr>
            </w:pPr>
            <w:r w:rsidRPr="00136A11">
              <w:rPr>
                <w:rFonts w:eastAsia="Times New Roman" w:cs="Calibri"/>
                <w:color w:val="000000"/>
                <w:lang w:eastAsia="pt-BR"/>
              </w:rPr>
              <w:t>Classificação por Esfera</w:t>
            </w:r>
          </w:p>
        </w:tc>
        <w:tc>
          <w:tcPr>
            <w:tcW w:w="3660" w:type="dxa"/>
            <w:tcBorders>
              <w:top w:val="nil"/>
              <w:left w:val="nil"/>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Esfera Orçamentária</w:t>
            </w:r>
          </w:p>
        </w:tc>
        <w:tc>
          <w:tcPr>
            <w:tcW w:w="3191" w:type="dxa"/>
            <w:tcBorders>
              <w:top w:val="nil"/>
              <w:left w:val="nil"/>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rPr>
                <w:rFonts w:eastAsia="Times New Roman" w:cs="Calibri"/>
                <w:color w:val="000000"/>
                <w:lang w:eastAsia="pt-BR"/>
              </w:rPr>
            </w:pPr>
            <w:r w:rsidRPr="00136A11">
              <w:rPr>
                <w:rFonts w:eastAsia="Times New Roman" w:cs="Calibri"/>
                <w:color w:val="000000"/>
                <w:lang w:eastAsia="pt-BR"/>
              </w:rPr>
              <w:t xml:space="preserve">Em qual </w:t>
            </w:r>
            <w:proofErr w:type="gramStart"/>
            <w:r w:rsidRPr="00136A11">
              <w:rPr>
                <w:rFonts w:eastAsia="Times New Roman" w:cs="Calibri"/>
                <w:color w:val="000000"/>
                <w:lang w:eastAsia="pt-BR"/>
              </w:rPr>
              <w:t>orçamento ?</w:t>
            </w:r>
            <w:proofErr w:type="gramEnd"/>
          </w:p>
        </w:tc>
      </w:tr>
      <w:tr w:rsidR="000A78C5" w:rsidRPr="00136A11" w:rsidTr="000A78C5">
        <w:trPr>
          <w:trHeight w:val="300"/>
        </w:trPr>
        <w:tc>
          <w:tcPr>
            <w:tcW w:w="2520" w:type="dxa"/>
            <w:vMerge w:val="restart"/>
            <w:tcBorders>
              <w:top w:val="nil"/>
              <w:left w:val="single" w:sz="4" w:space="0" w:color="auto"/>
              <w:right w:val="single" w:sz="4" w:space="0" w:color="auto"/>
            </w:tcBorders>
            <w:shd w:val="clear" w:color="auto" w:fill="auto"/>
            <w:noWrap/>
            <w:vAlign w:val="center"/>
            <w:hideMark/>
          </w:tcPr>
          <w:p w:rsidR="000A78C5" w:rsidRPr="00136A11" w:rsidRDefault="000A78C5" w:rsidP="00D33C34">
            <w:pPr>
              <w:spacing w:after="0" w:line="240" w:lineRule="auto"/>
              <w:rPr>
                <w:rFonts w:eastAsia="Times New Roman" w:cs="Calibri"/>
                <w:color w:val="000000"/>
                <w:lang w:eastAsia="pt-BR"/>
              </w:rPr>
            </w:pPr>
            <w:r w:rsidRPr="00136A11">
              <w:rPr>
                <w:rFonts w:eastAsia="Times New Roman" w:cs="Calibri"/>
                <w:color w:val="000000"/>
                <w:lang w:eastAsia="pt-BR"/>
              </w:rPr>
              <w:t>Classificação Institucional</w:t>
            </w:r>
          </w:p>
        </w:tc>
        <w:tc>
          <w:tcPr>
            <w:tcW w:w="3660" w:type="dxa"/>
            <w:tcBorders>
              <w:top w:val="nil"/>
              <w:left w:val="nil"/>
              <w:bottom w:val="single" w:sz="4" w:space="0" w:color="auto"/>
              <w:right w:val="single" w:sz="4" w:space="0" w:color="auto"/>
            </w:tcBorders>
            <w:shd w:val="clear" w:color="auto" w:fill="auto"/>
            <w:noWrap/>
            <w:vAlign w:val="bottom"/>
            <w:hideMark/>
          </w:tcPr>
          <w:p w:rsidR="000A78C5" w:rsidRPr="00136A11" w:rsidRDefault="000A78C5"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Órgão</w:t>
            </w:r>
          </w:p>
        </w:tc>
        <w:tc>
          <w:tcPr>
            <w:tcW w:w="31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78C5" w:rsidRPr="00136A11" w:rsidRDefault="000A78C5" w:rsidP="005D779C">
            <w:pPr>
              <w:spacing w:after="0" w:line="240" w:lineRule="auto"/>
              <w:rPr>
                <w:rFonts w:eastAsia="Times New Roman" w:cs="Calibri"/>
                <w:color w:val="000000"/>
                <w:lang w:eastAsia="pt-BR"/>
              </w:rPr>
            </w:pPr>
            <w:r w:rsidRPr="00136A11">
              <w:rPr>
                <w:rFonts w:eastAsia="Times New Roman" w:cs="Calibri"/>
                <w:color w:val="000000"/>
                <w:lang w:eastAsia="pt-BR"/>
              </w:rPr>
              <w:t xml:space="preserve">Quem </w:t>
            </w:r>
            <w:proofErr w:type="gramStart"/>
            <w:r w:rsidRPr="00136A11">
              <w:rPr>
                <w:rFonts w:eastAsia="Times New Roman" w:cs="Calibri"/>
                <w:color w:val="000000"/>
                <w:lang w:eastAsia="pt-BR"/>
              </w:rPr>
              <w:t>faz ?</w:t>
            </w:r>
            <w:proofErr w:type="gramEnd"/>
          </w:p>
        </w:tc>
      </w:tr>
      <w:tr w:rsidR="000A78C5" w:rsidRPr="00136A11" w:rsidTr="00D41989">
        <w:trPr>
          <w:trHeight w:val="300"/>
        </w:trPr>
        <w:tc>
          <w:tcPr>
            <w:tcW w:w="2520" w:type="dxa"/>
            <w:vMerge/>
            <w:tcBorders>
              <w:left w:val="single" w:sz="4" w:space="0" w:color="auto"/>
              <w:bottom w:val="single" w:sz="4" w:space="0" w:color="auto"/>
              <w:right w:val="single" w:sz="4" w:space="0" w:color="auto"/>
            </w:tcBorders>
            <w:shd w:val="clear" w:color="auto" w:fill="auto"/>
            <w:noWrap/>
            <w:vAlign w:val="bottom"/>
            <w:hideMark/>
          </w:tcPr>
          <w:p w:rsidR="000A78C5" w:rsidRPr="00136A11" w:rsidRDefault="000A78C5" w:rsidP="005D779C">
            <w:pPr>
              <w:spacing w:after="0" w:line="240" w:lineRule="auto"/>
              <w:ind w:firstLine="1418"/>
              <w:rPr>
                <w:rFonts w:eastAsia="Times New Roman" w:cs="Calibri"/>
                <w:color w:val="000000"/>
                <w:lang w:eastAsia="pt-BR"/>
              </w:rPr>
            </w:pPr>
          </w:p>
        </w:tc>
        <w:tc>
          <w:tcPr>
            <w:tcW w:w="3660" w:type="dxa"/>
            <w:tcBorders>
              <w:top w:val="nil"/>
              <w:left w:val="nil"/>
              <w:bottom w:val="single" w:sz="4" w:space="0" w:color="auto"/>
              <w:right w:val="single" w:sz="4" w:space="0" w:color="auto"/>
            </w:tcBorders>
            <w:shd w:val="clear" w:color="auto" w:fill="auto"/>
            <w:noWrap/>
            <w:vAlign w:val="bottom"/>
            <w:hideMark/>
          </w:tcPr>
          <w:p w:rsidR="000A78C5" w:rsidRPr="00136A11" w:rsidRDefault="000A78C5"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Unidade Orçamentária</w:t>
            </w:r>
          </w:p>
        </w:tc>
        <w:tc>
          <w:tcPr>
            <w:tcW w:w="3191" w:type="dxa"/>
            <w:vMerge/>
            <w:tcBorders>
              <w:top w:val="nil"/>
              <w:left w:val="single" w:sz="4" w:space="0" w:color="auto"/>
              <w:bottom w:val="single" w:sz="4" w:space="0" w:color="auto"/>
              <w:right w:val="single" w:sz="4" w:space="0" w:color="auto"/>
            </w:tcBorders>
            <w:vAlign w:val="center"/>
            <w:hideMark/>
          </w:tcPr>
          <w:p w:rsidR="000A78C5" w:rsidRPr="00136A11" w:rsidRDefault="000A78C5" w:rsidP="005D779C">
            <w:pPr>
              <w:spacing w:after="0" w:line="240" w:lineRule="auto"/>
              <w:ind w:firstLine="1418"/>
              <w:rPr>
                <w:rFonts w:eastAsia="Times New Roman" w:cs="Calibri"/>
                <w:color w:val="000000"/>
                <w:lang w:eastAsia="pt-BR"/>
              </w:rPr>
            </w:pPr>
          </w:p>
        </w:tc>
      </w:tr>
      <w:tr w:rsidR="00176FAC" w:rsidRPr="00136A11" w:rsidTr="000A78C5">
        <w:trPr>
          <w:trHeight w:val="300"/>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76FAC" w:rsidRPr="00136A11" w:rsidRDefault="00176FAC" w:rsidP="005D779C">
            <w:pPr>
              <w:spacing w:after="0" w:line="240" w:lineRule="auto"/>
              <w:rPr>
                <w:rFonts w:eastAsia="Times New Roman" w:cs="Calibri"/>
                <w:color w:val="000000"/>
                <w:lang w:eastAsia="pt-BR"/>
              </w:rPr>
            </w:pPr>
            <w:r w:rsidRPr="00136A11">
              <w:rPr>
                <w:rFonts w:eastAsia="Times New Roman" w:cs="Calibri"/>
                <w:color w:val="000000"/>
                <w:lang w:eastAsia="pt-BR"/>
              </w:rPr>
              <w:t>Classificação Funcional</w:t>
            </w:r>
          </w:p>
        </w:tc>
        <w:tc>
          <w:tcPr>
            <w:tcW w:w="3660" w:type="dxa"/>
            <w:tcBorders>
              <w:top w:val="nil"/>
              <w:left w:val="nil"/>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 xml:space="preserve">Função </w:t>
            </w:r>
          </w:p>
        </w:tc>
        <w:tc>
          <w:tcPr>
            <w:tcW w:w="3191" w:type="dxa"/>
            <w:vMerge w:val="restart"/>
            <w:tcBorders>
              <w:top w:val="nil"/>
              <w:left w:val="single" w:sz="4" w:space="0" w:color="auto"/>
              <w:bottom w:val="single" w:sz="4" w:space="0" w:color="auto"/>
              <w:right w:val="single" w:sz="4" w:space="0" w:color="auto"/>
            </w:tcBorders>
            <w:shd w:val="clear" w:color="auto" w:fill="auto"/>
            <w:vAlign w:val="center"/>
            <w:hideMark/>
          </w:tcPr>
          <w:p w:rsidR="00176FAC" w:rsidRPr="00136A11" w:rsidRDefault="00176FAC" w:rsidP="005D779C">
            <w:pPr>
              <w:spacing w:after="0" w:line="240" w:lineRule="auto"/>
              <w:rPr>
                <w:rFonts w:eastAsia="Times New Roman" w:cs="Calibri"/>
                <w:color w:val="000000"/>
                <w:lang w:eastAsia="pt-BR"/>
              </w:rPr>
            </w:pPr>
            <w:r w:rsidRPr="00136A11">
              <w:rPr>
                <w:rFonts w:eastAsia="Times New Roman" w:cs="Calibri"/>
                <w:color w:val="000000"/>
                <w:lang w:eastAsia="pt-BR"/>
              </w:rPr>
              <w:t>Em que área da despesa a ação governamental será realizada?</w:t>
            </w:r>
          </w:p>
        </w:tc>
      </w:tr>
      <w:tr w:rsidR="00176FAC" w:rsidRPr="00136A11" w:rsidTr="000A78C5">
        <w:trPr>
          <w:trHeight w:val="525"/>
        </w:trPr>
        <w:tc>
          <w:tcPr>
            <w:tcW w:w="2520" w:type="dxa"/>
            <w:vMerge/>
            <w:tcBorders>
              <w:top w:val="nil"/>
              <w:left w:val="single" w:sz="4" w:space="0" w:color="auto"/>
              <w:bottom w:val="single" w:sz="4" w:space="0" w:color="auto"/>
              <w:right w:val="single" w:sz="4" w:space="0" w:color="auto"/>
            </w:tcBorders>
            <w:vAlign w:val="center"/>
            <w:hideMark/>
          </w:tcPr>
          <w:p w:rsidR="00176FAC" w:rsidRPr="00136A11" w:rsidRDefault="00176FAC" w:rsidP="005D779C">
            <w:pPr>
              <w:spacing w:after="0" w:line="240" w:lineRule="auto"/>
              <w:ind w:firstLine="1418"/>
              <w:jc w:val="both"/>
              <w:rPr>
                <w:rFonts w:eastAsia="Times New Roman" w:cs="Calibri"/>
                <w:color w:val="000000"/>
                <w:lang w:eastAsia="pt-BR"/>
              </w:rPr>
            </w:pPr>
          </w:p>
        </w:tc>
        <w:tc>
          <w:tcPr>
            <w:tcW w:w="3660" w:type="dxa"/>
            <w:tcBorders>
              <w:top w:val="nil"/>
              <w:left w:val="nil"/>
              <w:bottom w:val="single" w:sz="4" w:space="0" w:color="auto"/>
              <w:right w:val="single" w:sz="4" w:space="0" w:color="auto"/>
            </w:tcBorders>
            <w:shd w:val="clear" w:color="auto" w:fill="auto"/>
            <w:noWrap/>
            <w:vAlign w:val="center"/>
            <w:hideMark/>
          </w:tcPr>
          <w:p w:rsidR="00176FAC" w:rsidRPr="00136A11" w:rsidRDefault="00D33C34" w:rsidP="005D779C">
            <w:pPr>
              <w:spacing w:after="0" w:line="240" w:lineRule="auto"/>
              <w:jc w:val="center"/>
              <w:rPr>
                <w:rFonts w:eastAsia="Times New Roman" w:cs="Calibri"/>
                <w:color w:val="000000"/>
                <w:lang w:eastAsia="pt-BR"/>
              </w:rPr>
            </w:pPr>
            <w:r>
              <w:rPr>
                <w:rFonts w:eastAsia="Times New Roman" w:cs="Calibri"/>
                <w:color w:val="000000"/>
                <w:lang w:eastAsia="pt-BR"/>
              </w:rPr>
              <w:t xml:space="preserve">      </w:t>
            </w:r>
            <w:proofErr w:type="spellStart"/>
            <w:r w:rsidR="00176FAC" w:rsidRPr="00136A11">
              <w:rPr>
                <w:rFonts w:eastAsia="Times New Roman" w:cs="Calibri"/>
                <w:color w:val="000000"/>
                <w:lang w:eastAsia="pt-BR"/>
              </w:rPr>
              <w:t>Subfunção</w:t>
            </w:r>
            <w:proofErr w:type="spellEnd"/>
          </w:p>
        </w:tc>
        <w:tc>
          <w:tcPr>
            <w:tcW w:w="3191" w:type="dxa"/>
            <w:vMerge/>
            <w:tcBorders>
              <w:top w:val="nil"/>
              <w:left w:val="single" w:sz="4" w:space="0" w:color="auto"/>
              <w:bottom w:val="single" w:sz="4" w:space="0" w:color="auto"/>
              <w:right w:val="single" w:sz="4" w:space="0" w:color="auto"/>
            </w:tcBorders>
            <w:vAlign w:val="center"/>
            <w:hideMark/>
          </w:tcPr>
          <w:p w:rsidR="00176FAC" w:rsidRPr="00136A11" w:rsidRDefault="00176FAC" w:rsidP="005D779C">
            <w:pPr>
              <w:spacing w:after="0" w:line="240" w:lineRule="auto"/>
              <w:ind w:firstLine="1418"/>
              <w:jc w:val="both"/>
              <w:rPr>
                <w:rFonts w:eastAsia="Times New Roman" w:cs="Calibri"/>
                <w:color w:val="000000"/>
                <w:lang w:eastAsia="pt-BR"/>
              </w:rPr>
            </w:pPr>
          </w:p>
        </w:tc>
      </w:tr>
      <w:tr w:rsidR="00176FAC" w:rsidRPr="00136A11" w:rsidTr="000A78C5">
        <w:trPr>
          <w:trHeight w:val="30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Estrutura Programática</w:t>
            </w:r>
          </w:p>
        </w:tc>
        <w:tc>
          <w:tcPr>
            <w:tcW w:w="3660" w:type="dxa"/>
            <w:tcBorders>
              <w:top w:val="nil"/>
              <w:left w:val="nil"/>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Programa</w:t>
            </w:r>
            <w:r w:rsidR="00043F6D" w:rsidRPr="00136A11">
              <w:rPr>
                <w:rStyle w:val="Refdenotaderodap"/>
                <w:rFonts w:eastAsia="Times New Roman" w:cs="Calibri"/>
                <w:color w:val="000000"/>
                <w:lang w:eastAsia="pt-BR"/>
              </w:rPr>
              <w:footnoteReference w:id="1"/>
            </w:r>
          </w:p>
        </w:tc>
        <w:tc>
          <w:tcPr>
            <w:tcW w:w="3191" w:type="dxa"/>
            <w:tcBorders>
              <w:top w:val="nil"/>
              <w:left w:val="nil"/>
              <w:bottom w:val="single" w:sz="4" w:space="0" w:color="auto"/>
              <w:right w:val="single" w:sz="4" w:space="0" w:color="auto"/>
            </w:tcBorders>
            <w:shd w:val="clear" w:color="auto" w:fill="auto"/>
            <w:noWrap/>
            <w:vAlign w:val="bottom"/>
            <w:hideMark/>
          </w:tcPr>
          <w:p w:rsidR="00176FAC" w:rsidRPr="00136A11" w:rsidRDefault="00176FAC"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 xml:space="preserve">O que </w:t>
            </w:r>
            <w:proofErr w:type="gramStart"/>
            <w:r w:rsidRPr="00136A11">
              <w:rPr>
                <w:rFonts w:eastAsia="Times New Roman" w:cs="Calibri"/>
                <w:color w:val="000000"/>
                <w:lang w:eastAsia="pt-BR"/>
              </w:rPr>
              <w:t>fazer ?</w:t>
            </w:r>
            <w:proofErr w:type="gramEnd"/>
          </w:p>
        </w:tc>
      </w:tr>
      <w:tr w:rsidR="00176FAC" w:rsidRPr="00136A11" w:rsidTr="000A78C5">
        <w:trPr>
          <w:trHeight w:val="300"/>
        </w:trPr>
        <w:tc>
          <w:tcPr>
            <w:tcW w:w="9371" w:type="dxa"/>
            <w:gridSpan w:val="3"/>
            <w:tcBorders>
              <w:top w:val="single" w:sz="4" w:space="0" w:color="auto"/>
              <w:left w:val="single" w:sz="4" w:space="0" w:color="auto"/>
              <w:bottom w:val="single" w:sz="4" w:space="0" w:color="auto"/>
              <w:right w:val="single" w:sz="4" w:space="0" w:color="auto"/>
            </w:tcBorders>
            <w:shd w:val="clear" w:color="000000" w:fill="D6E3BC"/>
            <w:vAlign w:val="center"/>
            <w:hideMark/>
          </w:tcPr>
          <w:p w:rsidR="00176FAC" w:rsidRPr="000A78C5" w:rsidRDefault="00176FAC" w:rsidP="005D779C">
            <w:pPr>
              <w:spacing w:after="0" w:line="240" w:lineRule="auto"/>
              <w:ind w:firstLine="1418"/>
              <w:jc w:val="center"/>
              <w:rPr>
                <w:rFonts w:eastAsia="Times New Roman" w:cs="Arial"/>
                <w:b/>
                <w:color w:val="000000"/>
                <w:lang w:eastAsia="pt-BR"/>
              </w:rPr>
            </w:pPr>
            <w:r w:rsidRPr="000A78C5">
              <w:rPr>
                <w:rFonts w:eastAsia="Times New Roman" w:cs="Arial"/>
                <w:b/>
                <w:color w:val="000000"/>
                <w:lang w:eastAsia="pt-BR"/>
              </w:rPr>
              <w:t>Programação Quantitativa</w:t>
            </w:r>
          </w:p>
        </w:tc>
      </w:tr>
      <w:tr w:rsidR="000A78C5" w:rsidRPr="00136A11" w:rsidTr="00D41989">
        <w:trPr>
          <w:trHeight w:val="300"/>
        </w:trPr>
        <w:tc>
          <w:tcPr>
            <w:tcW w:w="9371"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0A78C5" w:rsidRPr="000A78C5" w:rsidRDefault="000A78C5" w:rsidP="005D779C">
            <w:pPr>
              <w:spacing w:after="0" w:line="240" w:lineRule="auto"/>
              <w:ind w:firstLine="1418"/>
              <w:jc w:val="center"/>
              <w:rPr>
                <w:rFonts w:eastAsia="Times New Roman" w:cs="Calibri"/>
                <w:b/>
                <w:color w:val="000000"/>
                <w:lang w:eastAsia="pt-BR"/>
              </w:rPr>
            </w:pPr>
            <w:r w:rsidRPr="000A78C5">
              <w:rPr>
                <w:rFonts w:eastAsia="Times New Roman" w:cs="Calibri"/>
                <w:b/>
                <w:color w:val="000000"/>
                <w:lang w:eastAsia="pt-BR"/>
              </w:rPr>
              <w:t>Natureza da Despesa</w:t>
            </w:r>
          </w:p>
        </w:tc>
      </w:tr>
      <w:tr w:rsidR="000A78C5" w:rsidRPr="00136A11" w:rsidTr="000A78C5">
        <w:trPr>
          <w:trHeight w:val="6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78C5" w:rsidRPr="00136A11" w:rsidRDefault="000A78C5"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Categoria Econômica da Despesa</w:t>
            </w:r>
          </w:p>
        </w:tc>
        <w:tc>
          <w:tcPr>
            <w:tcW w:w="3191" w:type="dxa"/>
            <w:tcBorders>
              <w:top w:val="nil"/>
              <w:left w:val="nil"/>
              <w:bottom w:val="single" w:sz="4" w:space="0" w:color="auto"/>
              <w:right w:val="single" w:sz="4" w:space="0" w:color="auto"/>
            </w:tcBorders>
            <w:shd w:val="clear" w:color="000000" w:fill="FFFFFF"/>
            <w:vAlign w:val="bottom"/>
            <w:hideMark/>
          </w:tcPr>
          <w:p w:rsidR="000A78C5" w:rsidRPr="00136A11" w:rsidRDefault="000A78C5"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Qual o efeito econômico da realização da despesa?</w:t>
            </w:r>
          </w:p>
        </w:tc>
      </w:tr>
      <w:tr w:rsidR="000A78C5" w:rsidRPr="00136A11" w:rsidTr="000A78C5">
        <w:trPr>
          <w:trHeight w:val="6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A78C5" w:rsidRPr="00136A11" w:rsidRDefault="000A78C5"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Grupo de Natureza de Despesa (GND)</w:t>
            </w:r>
          </w:p>
        </w:tc>
        <w:tc>
          <w:tcPr>
            <w:tcW w:w="3191" w:type="dxa"/>
            <w:tcBorders>
              <w:top w:val="nil"/>
              <w:left w:val="nil"/>
              <w:bottom w:val="single" w:sz="4" w:space="0" w:color="auto"/>
              <w:right w:val="single" w:sz="4" w:space="0" w:color="auto"/>
            </w:tcBorders>
            <w:shd w:val="clear" w:color="000000" w:fill="FFFFFF"/>
            <w:vAlign w:val="bottom"/>
            <w:hideMark/>
          </w:tcPr>
          <w:p w:rsidR="000A78C5" w:rsidRPr="00136A11" w:rsidRDefault="000A78C5"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Em qual classe de gasto será realizada a despesa?</w:t>
            </w:r>
          </w:p>
        </w:tc>
      </w:tr>
      <w:tr w:rsidR="006609B0" w:rsidRPr="00136A11" w:rsidTr="006609B0">
        <w:trPr>
          <w:trHeight w:val="6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Modalidade de Aplicação</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Qual a estratégia para realização da despesa?</w:t>
            </w:r>
          </w:p>
        </w:tc>
      </w:tr>
      <w:tr w:rsidR="006609B0" w:rsidRPr="00136A11" w:rsidTr="006609B0">
        <w:trPr>
          <w:trHeight w:val="9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Elemento de Despesa</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Quais os insumos que se pretende utilizar ou adquirir?</w:t>
            </w:r>
          </w:p>
        </w:tc>
      </w:tr>
      <w:tr w:rsidR="006609B0" w:rsidRPr="00136A11" w:rsidTr="006609B0">
        <w:trPr>
          <w:trHeight w:val="6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Identificador de Uso (IDUSO)</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 xml:space="preserve">Os recursos utilizados são </w:t>
            </w:r>
            <w:proofErr w:type="gramStart"/>
            <w:r w:rsidRPr="00136A11">
              <w:rPr>
                <w:rFonts w:eastAsia="Times New Roman" w:cs="Calibri"/>
                <w:color w:val="000000"/>
                <w:lang w:eastAsia="pt-BR"/>
              </w:rPr>
              <w:t>contrapartida ?</w:t>
            </w:r>
            <w:proofErr w:type="gramEnd"/>
          </w:p>
        </w:tc>
      </w:tr>
      <w:tr w:rsidR="006609B0" w:rsidRPr="00136A11" w:rsidTr="006609B0">
        <w:trPr>
          <w:trHeight w:val="6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Fonte de Recursos</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De onde virão os recursos para realizar a despesa?</w:t>
            </w:r>
          </w:p>
        </w:tc>
      </w:tr>
      <w:tr w:rsidR="006609B0" w:rsidRPr="00136A11" w:rsidTr="006609B0">
        <w:trPr>
          <w:trHeight w:val="9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A152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Identificador de Doação e de Operação de</w:t>
            </w:r>
          </w:p>
          <w:p w:rsidR="006609B0" w:rsidRPr="00136A11" w:rsidRDefault="006609B0" w:rsidP="005D779C">
            <w:pPr>
              <w:spacing w:after="0" w:line="240" w:lineRule="auto"/>
              <w:ind w:firstLine="1418"/>
              <w:rPr>
                <w:rFonts w:eastAsia="Times New Roman" w:cs="Calibri"/>
                <w:color w:val="000000"/>
                <w:lang w:eastAsia="pt-BR"/>
              </w:rPr>
            </w:pPr>
            <w:proofErr w:type="gramStart"/>
            <w:r w:rsidRPr="00136A11">
              <w:rPr>
                <w:rFonts w:eastAsia="Times New Roman" w:cs="Calibri"/>
                <w:color w:val="000000"/>
                <w:lang w:eastAsia="pt-BR"/>
              </w:rPr>
              <w:t>Crédito(</w:t>
            </w:r>
            <w:proofErr w:type="gramEnd"/>
            <w:r w:rsidRPr="00136A11">
              <w:rPr>
                <w:rFonts w:eastAsia="Times New Roman" w:cs="Calibri"/>
                <w:color w:val="000000"/>
                <w:lang w:eastAsia="pt-BR"/>
              </w:rPr>
              <w:t>IDOC)</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A que operação de crédito ou doação os recursos se relacionam?</w:t>
            </w:r>
          </w:p>
        </w:tc>
      </w:tr>
      <w:tr w:rsidR="006609B0" w:rsidRPr="00136A11" w:rsidTr="006609B0">
        <w:trPr>
          <w:trHeight w:val="1200"/>
        </w:trPr>
        <w:tc>
          <w:tcPr>
            <w:tcW w:w="6180"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Identificador de Resultado Primário</w:t>
            </w:r>
          </w:p>
        </w:tc>
        <w:tc>
          <w:tcPr>
            <w:tcW w:w="3191" w:type="dxa"/>
            <w:tcBorders>
              <w:top w:val="nil"/>
              <w:left w:val="nil"/>
              <w:bottom w:val="single" w:sz="4" w:space="0" w:color="auto"/>
              <w:right w:val="single" w:sz="4" w:space="0" w:color="auto"/>
            </w:tcBorders>
            <w:shd w:val="clear" w:color="000000" w:fill="FFFFFF"/>
            <w:vAlign w:val="bottom"/>
            <w:hideMark/>
          </w:tcPr>
          <w:p w:rsidR="006609B0" w:rsidRPr="00136A11" w:rsidRDefault="006609B0"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 xml:space="preserve">Como se classifica essa despesa em relação ao efeito sobre o Resultado Primário da </w:t>
            </w:r>
            <w:proofErr w:type="gramStart"/>
            <w:r w:rsidRPr="00136A11">
              <w:rPr>
                <w:rFonts w:eastAsia="Times New Roman" w:cs="Calibri"/>
                <w:color w:val="000000"/>
                <w:lang w:eastAsia="pt-BR"/>
              </w:rPr>
              <w:t>União ?</w:t>
            </w:r>
            <w:proofErr w:type="gramEnd"/>
          </w:p>
        </w:tc>
      </w:tr>
      <w:tr w:rsidR="006609B0" w:rsidRPr="00136A11" w:rsidTr="00D41989">
        <w:trPr>
          <w:trHeight w:val="300"/>
        </w:trPr>
        <w:tc>
          <w:tcPr>
            <w:tcW w:w="6180"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609B0" w:rsidRPr="00136A11" w:rsidRDefault="006609B0"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Dotação</w:t>
            </w:r>
          </w:p>
        </w:tc>
        <w:tc>
          <w:tcPr>
            <w:tcW w:w="3191" w:type="dxa"/>
            <w:tcBorders>
              <w:top w:val="nil"/>
              <w:left w:val="nil"/>
              <w:bottom w:val="single" w:sz="4" w:space="0" w:color="auto"/>
              <w:right w:val="single" w:sz="4" w:space="0" w:color="auto"/>
            </w:tcBorders>
            <w:shd w:val="clear" w:color="000000" w:fill="FFFFFF"/>
            <w:noWrap/>
            <w:vAlign w:val="center"/>
            <w:hideMark/>
          </w:tcPr>
          <w:p w:rsidR="006609B0" w:rsidRPr="00136A11" w:rsidRDefault="006609B0" w:rsidP="005D779C">
            <w:pPr>
              <w:spacing w:after="0" w:line="240" w:lineRule="auto"/>
              <w:rPr>
                <w:rFonts w:eastAsia="Times New Roman" w:cs="Calibri"/>
                <w:color w:val="000000"/>
                <w:lang w:eastAsia="pt-BR"/>
              </w:rPr>
            </w:pPr>
            <w:r w:rsidRPr="00136A11">
              <w:rPr>
                <w:rFonts w:eastAsia="Times New Roman" w:cs="Calibri"/>
                <w:color w:val="000000"/>
                <w:lang w:eastAsia="pt-BR"/>
              </w:rPr>
              <w:t>Quanto custa?</w:t>
            </w:r>
          </w:p>
        </w:tc>
      </w:tr>
      <w:tr w:rsidR="00176FAC" w:rsidRPr="00136A11" w:rsidTr="000A78C5">
        <w:trPr>
          <w:trHeight w:val="300"/>
        </w:trPr>
        <w:tc>
          <w:tcPr>
            <w:tcW w:w="9371" w:type="dxa"/>
            <w:gridSpan w:val="3"/>
            <w:tcBorders>
              <w:top w:val="nil"/>
              <w:left w:val="nil"/>
              <w:bottom w:val="nil"/>
              <w:right w:val="nil"/>
            </w:tcBorders>
            <w:shd w:val="clear" w:color="000000" w:fill="FFFFFF"/>
            <w:noWrap/>
            <w:vAlign w:val="bottom"/>
            <w:hideMark/>
          </w:tcPr>
          <w:p w:rsidR="00176FAC" w:rsidRPr="00136A11" w:rsidRDefault="00176FAC" w:rsidP="005D779C">
            <w:pPr>
              <w:spacing w:after="0" w:line="240" w:lineRule="auto"/>
              <w:jc w:val="both"/>
              <w:rPr>
                <w:rFonts w:eastAsia="Times New Roman" w:cs="Calibri"/>
                <w:b/>
                <w:color w:val="000000"/>
                <w:lang w:eastAsia="pt-BR"/>
              </w:rPr>
            </w:pPr>
            <w:r w:rsidRPr="00136A11">
              <w:rPr>
                <w:rFonts w:eastAsia="Times New Roman" w:cs="Calibri"/>
                <w:b/>
                <w:color w:val="000000"/>
                <w:lang w:eastAsia="pt-BR"/>
              </w:rPr>
              <w:t>Fonte: Manual Técnico de Orçamento, Secretaria de Orçamento Federal (SOF</w:t>
            </w:r>
            <w:proofErr w:type="gramStart"/>
            <w:r w:rsidRPr="00136A11">
              <w:rPr>
                <w:rFonts w:eastAsia="Times New Roman" w:cs="Calibri"/>
                <w:b/>
                <w:color w:val="000000"/>
                <w:lang w:eastAsia="pt-BR"/>
              </w:rPr>
              <w:t>)</w:t>
            </w:r>
            <w:proofErr w:type="gramEnd"/>
          </w:p>
        </w:tc>
      </w:tr>
    </w:tbl>
    <w:p w:rsidR="00FE08E8" w:rsidRPr="00136A11" w:rsidRDefault="00FE08E8" w:rsidP="005D779C">
      <w:pPr>
        <w:spacing w:after="0" w:line="240" w:lineRule="auto"/>
        <w:ind w:firstLine="1418"/>
        <w:jc w:val="both"/>
      </w:pPr>
    </w:p>
    <w:p w:rsidR="002A66F7" w:rsidRPr="00136A11" w:rsidRDefault="00BD44B7" w:rsidP="005D779C">
      <w:pPr>
        <w:spacing w:after="0" w:line="240" w:lineRule="auto"/>
        <w:ind w:firstLine="1418"/>
        <w:jc w:val="both"/>
        <w:rPr>
          <w:b/>
        </w:rPr>
      </w:pPr>
      <w:r w:rsidRPr="00136A11">
        <w:rPr>
          <w:b/>
        </w:rPr>
        <w:t>4</w:t>
      </w:r>
      <w:r w:rsidR="00185087" w:rsidRPr="00136A11">
        <w:rPr>
          <w:b/>
        </w:rPr>
        <w:t xml:space="preserve">.1 </w:t>
      </w:r>
      <w:r w:rsidR="002A66F7" w:rsidRPr="00136A11">
        <w:rPr>
          <w:b/>
        </w:rPr>
        <w:t>Esfera</w:t>
      </w:r>
    </w:p>
    <w:p w:rsidR="009F3AE7" w:rsidRDefault="00542A8B" w:rsidP="005D779C">
      <w:pPr>
        <w:spacing w:after="0" w:line="240" w:lineRule="auto"/>
        <w:ind w:firstLine="1418"/>
        <w:jc w:val="both"/>
      </w:pPr>
      <w:r w:rsidRPr="00136A11">
        <w:t>A esfera orçamentária identifica se a despesa integra o orçamento Fiscal (F), da Seguridade Social</w:t>
      </w:r>
      <w:r w:rsidR="003430CC" w:rsidRPr="00136A11">
        <w:t xml:space="preserve"> (S) ou de Investimento das Empresas Estatais (I)</w:t>
      </w:r>
      <w:r w:rsidRPr="00136A11">
        <w:t>.</w:t>
      </w:r>
    </w:p>
    <w:p w:rsidR="006609B0" w:rsidRDefault="006609B0" w:rsidP="005D779C">
      <w:pPr>
        <w:spacing w:after="0" w:line="240" w:lineRule="auto"/>
        <w:ind w:firstLine="1418"/>
        <w:jc w:val="both"/>
      </w:pPr>
    </w:p>
    <w:p w:rsidR="00D33C34" w:rsidRDefault="00D33C34" w:rsidP="005D779C">
      <w:pPr>
        <w:spacing w:after="0" w:line="240" w:lineRule="auto"/>
        <w:ind w:firstLine="1418"/>
        <w:jc w:val="both"/>
      </w:pPr>
    </w:p>
    <w:p w:rsidR="00D33C34" w:rsidRDefault="00D33C34" w:rsidP="005D779C">
      <w:pPr>
        <w:spacing w:after="0" w:line="240" w:lineRule="auto"/>
        <w:ind w:firstLine="1418"/>
        <w:jc w:val="both"/>
      </w:pPr>
    </w:p>
    <w:p w:rsidR="00D33C34" w:rsidRDefault="00D33C34" w:rsidP="005D779C">
      <w:pPr>
        <w:spacing w:after="0" w:line="240" w:lineRule="auto"/>
        <w:ind w:firstLine="1418"/>
        <w:jc w:val="both"/>
      </w:pPr>
    </w:p>
    <w:p w:rsidR="00D33C34" w:rsidRPr="00136A11" w:rsidRDefault="00D33C34" w:rsidP="005D779C">
      <w:pPr>
        <w:spacing w:after="0" w:line="240" w:lineRule="auto"/>
        <w:ind w:firstLine="1418"/>
        <w:jc w:val="both"/>
      </w:pPr>
    </w:p>
    <w:p w:rsidR="00D86424" w:rsidRPr="00136A11" w:rsidRDefault="00D86424" w:rsidP="005D779C">
      <w:pPr>
        <w:pStyle w:val="PargrafodaLista"/>
        <w:numPr>
          <w:ilvl w:val="1"/>
          <w:numId w:val="9"/>
        </w:numPr>
        <w:spacing w:after="0" w:line="240" w:lineRule="auto"/>
        <w:ind w:left="0" w:firstLine="1418"/>
        <w:jc w:val="both"/>
        <w:rPr>
          <w:b/>
        </w:rPr>
      </w:pPr>
      <w:r w:rsidRPr="00136A11">
        <w:rPr>
          <w:b/>
        </w:rPr>
        <w:t>Classificação Institucional</w:t>
      </w:r>
    </w:p>
    <w:p w:rsidR="003708B5" w:rsidRDefault="00D86424" w:rsidP="005D779C">
      <w:pPr>
        <w:spacing w:after="0" w:line="240" w:lineRule="auto"/>
        <w:ind w:firstLine="1418"/>
        <w:jc w:val="both"/>
      </w:pPr>
      <w:r w:rsidRPr="00136A11">
        <w:t>A classificação institucional</w:t>
      </w:r>
      <w:r w:rsidR="004F6468" w:rsidRPr="00136A11">
        <w:t xml:space="preserve"> visa </w:t>
      </w:r>
      <w:r w:rsidR="00441921" w:rsidRPr="00136A11">
        <w:t>identificar a responsabilidade</w:t>
      </w:r>
      <w:r w:rsidR="006919D6" w:rsidRPr="00136A11">
        <w:t xml:space="preserve"> </w:t>
      </w:r>
      <w:r w:rsidR="00441921" w:rsidRPr="00136A11">
        <w:t>pelo gasto orçamentário. Desta forma, a classificação</w:t>
      </w:r>
      <w:r w:rsidR="003B3E6F" w:rsidRPr="00136A11">
        <w:t xml:space="preserve"> institucional reflete a estrutura organizacional e </w:t>
      </w:r>
      <w:r w:rsidR="00DF478C" w:rsidRPr="00136A11">
        <w:t>administrativa do governo, sendo estruturada em dois níveis hierárquicos: órgão orçamentário</w:t>
      </w:r>
      <w:r w:rsidR="00D45C96" w:rsidRPr="00136A11">
        <w:rPr>
          <w:rStyle w:val="Refdenotaderodap"/>
        </w:rPr>
        <w:footnoteReference w:id="2"/>
      </w:r>
      <w:r w:rsidR="00DF478C" w:rsidRPr="00136A11">
        <w:t xml:space="preserve"> e unidade orçamentária</w:t>
      </w:r>
      <w:r w:rsidR="00D45C96" w:rsidRPr="00136A11">
        <w:rPr>
          <w:rStyle w:val="Refdenotaderodap"/>
        </w:rPr>
        <w:footnoteReference w:id="3"/>
      </w:r>
      <w:r w:rsidR="00DF478C" w:rsidRPr="00136A11">
        <w:t>.</w:t>
      </w:r>
      <w:bookmarkStart w:id="0" w:name="Unidade_Gestora"/>
    </w:p>
    <w:p w:rsidR="006609B0" w:rsidRPr="00136A11" w:rsidRDefault="006609B0" w:rsidP="005D779C">
      <w:pPr>
        <w:spacing w:after="0" w:line="240" w:lineRule="auto"/>
        <w:ind w:firstLine="1418"/>
        <w:jc w:val="both"/>
      </w:pPr>
    </w:p>
    <w:bookmarkEnd w:id="0"/>
    <w:p w:rsidR="00836645" w:rsidRPr="00136A11" w:rsidRDefault="00836645" w:rsidP="005D779C">
      <w:pPr>
        <w:pStyle w:val="PargrafodaLista"/>
        <w:numPr>
          <w:ilvl w:val="1"/>
          <w:numId w:val="9"/>
        </w:numPr>
        <w:spacing w:after="0" w:line="240" w:lineRule="auto"/>
        <w:ind w:left="0" w:firstLine="1418"/>
        <w:jc w:val="both"/>
        <w:rPr>
          <w:b/>
        </w:rPr>
      </w:pPr>
      <w:r w:rsidRPr="00136A11">
        <w:rPr>
          <w:b/>
        </w:rPr>
        <w:t>Classificação Funcional</w:t>
      </w:r>
    </w:p>
    <w:p w:rsidR="008F675B" w:rsidRPr="00136A11" w:rsidRDefault="003708B5" w:rsidP="005D779C">
      <w:pPr>
        <w:spacing w:after="0" w:line="240" w:lineRule="auto"/>
        <w:ind w:firstLine="1418"/>
        <w:jc w:val="both"/>
      </w:pPr>
      <w:r w:rsidRPr="00136A11">
        <w:t>A classificação funcional visa identificar em que área a despesa será realizada. Desta forma, atua como um agregado dos gastos do governo. Assim, este classificador permite a consolidação nacional dos gastos públicos e formular estatísticas sobre a destinação dos recursos públicos.</w:t>
      </w:r>
    </w:p>
    <w:p w:rsidR="00C872C8" w:rsidRPr="00136A11" w:rsidRDefault="008F675B" w:rsidP="005D779C">
      <w:pPr>
        <w:spacing w:after="0" w:line="240" w:lineRule="auto"/>
        <w:ind w:firstLine="1418"/>
        <w:jc w:val="both"/>
      </w:pPr>
      <w:r w:rsidRPr="00136A11">
        <w:t xml:space="preserve">O classificador funcional é formado por </w:t>
      </w:r>
      <w:r w:rsidR="00881F48" w:rsidRPr="00136A11">
        <w:t xml:space="preserve">função e subfunções. </w:t>
      </w:r>
      <w:r w:rsidR="00C872C8" w:rsidRPr="00136A11">
        <w:t>Desta forma,</w:t>
      </w:r>
      <w:r w:rsidR="000F207A" w:rsidRPr="00136A11">
        <w:t xml:space="preserve"> existe uma lógica de matricialidade, de tal maneira que as subfunções podem ser combinadas com funções diferentes daquelas a que estejam vinculadas.</w:t>
      </w:r>
    </w:p>
    <w:p w:rsidR="00B56FE8" w:rsidRDefault="00C872C8" w:rsidP="005D779C">
      <w:pPr>
        <w:spacing w:after="0" w:line="240" w:lineRule="auto"/>
        <w:ind w:firstLine="1418"/>
        <w:jc w:val="both"/>
        <w:rPr>
          <w:rFonts w:cstheme="minorHAnsi"/>
        </w:rPr>
      </w:pPr>
      <w:r w:rsidRPr="00136A11">
        <w:t>A</w:t>
      </w:r>
      <w:r w:rsidR="00881F48" w:rsidRPr="00136A11">
        <w:t xml:space="preserve"> função representa o maior nível de agregação das áreas de atuação do governo e reflete a competência institucional do órgão, como por exemplo, saúde ou educação.</w:t>
      </w:r>
      <w:r w:rsidR="00B56FE8" w:rsidRPr="00136A11">
        <w:t xml:space="preserve"> Já a subfunção constitui uma partição da função, a qual não se restringe à área de atuação do órgão, mas fica associada ao espaço de contribuição da ação governamental. Assim, por exemplo, uma atividade de pesquisa na FIOCRUZ do Ministério da Saúde deve ser classificada na </w:t>
      </w:r>
      <w:proofErr w:type="spellStart"/>
      <w:r w:rsidR="00B56FE8" w:rsidRPr="00136A11">
        <w:t>subfunção</w:t>
      </w:r>
      <w:proofErr w:type="spellEnd"/>
      <w:r w:rsidR="00B56FE8" w:rsidRPr="00136A11">
        <w:t xml:space="preserve"> n</w:t>
      </w:r>
      <w:r w:rsidR="00302458">
        <w:rPr>
          <w:rFonts w:cstheme="minorHAnsi"/>
        </w:rPr>
        <w:t xml:space="preserve">º </w:t>
      </w:r>
      <w:r w:rsidR="00B56FE8" w:rsidRPr="00136A11">
        <w:t>571 “Desenvolvimento Científico” e na função n</w:t>
      </w:r>
      <w:r w:rsidR="00302458">
        <w:t>º</w:t>
      </w:r>
      <w:r w:rsidR="00B56FE8" w:rsidRPr="00136A11">
        <w:rPr>
          <w:rFonts w:cstheme="minorHAnsi"/>
        </w:rPr>
        <w:t xml:space="preserve"> 10 “Saúde”.</w:t>
      </w:r>
    </w:p>
    <w:p w:rsidR="006609B0" w:rsidRPr="00136A11" w:rsidRDefault="006609B0" w:rsidP="005D779C">
      <w:pPr>
        <w:spacing w:after="0" w:line="240" w:lineRule="auto"/>
        <w:ind w:firstLine="1418"/>
        <w:jc w:val="both"/>
        <w:rPr>
          <w:rFonts w:cstheme="minorHAnsi"/>
        </w:rPr>
      </w:pPr>
    </w:p>
    <w:p w:rsidR="00836645" w:rsidRDefault="00D33C34" w:rsidP="005D779C">
      <w:pPr>
        <w:spacing w:after="0" w:line="240" w:lineRule="auto"/>
        <w:ind w:firstLine="1418"/>
        <w:jc w:val="both"/>
      </w:pPr>
      <w:proofErr w:type="gramStart"/>
      <w:r>
        <w:t>Os Quadros</w:t>
      </w:r>
      <w:proofErr w:type="gramEnd"/>
      <w:r w:rsidR="00B56FE8" w:rsidRPr="00136A11">
        <w:t xml:space="preserve"> a seguir </w:t>
      </w:r>
      <w:r w:rsidR="00340814" w:rsidRPr="00136A11">
        <w:t>apresentam</w:t>
      </w:r>
      <w:r w:rsidR="00B56FE8" w:rsidRPr="00136A11">
        <w:t xml:space="preserve"> alguns exemplos da classificação funcional.</w:t>
      </w:r>
      <w:r w:rsidR="000F4A17" w:rsidRPr="00136A11">
        <w:t xml:space="preserve"> </w:t>
      </w:r>
    </w:p>
    <w:p w:rsidR="00302458" w:rsidRPr="00136A11" w:rsidRDefault="00302458" w:rsidP="005D779C">
      <w:pPr>
        <w:spacing w:after="0" w:line="240" w:lineRule="auto"/>
        <w:ind w:firstLine="141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E1092F" w:rsidRPr="00136A11" w:rsidTr="00302458">
        <w:tc>
          <w:tcPr>
            <w:tcW w:w="2694" w:type="dxa"/>
            <w:shd w:val="clear" w:color="auto" w:fill="D6E3BC"/>
          </w:tcPr>
          <w:p w:rsidR="00E1092F" w:rsidRPr="00136A11" w:rsidRDefault="00E1092F" w:rsidP="005D779C">
            <w:pPr>
              <w:autoSpaceDE w:val="0"/>
              <w:autoSpaceDN w:val="0"/>
              <w:adjustRightInd w:val="0"/>
              <w:spacing w:after="0" w:line="240" w:lineRule="auto"/>
              <w:jc w:val="both"/>
              <w:rPr>
                <w:rFonts w:cs="Arial"/>
                <w:bCs/>
                <w:lang w:eastAsia="pt-BR"/>
              </w:rPr>
            </w:pPr>
            <w:r w:rsidRPr="00136A11">
              <w:rPr>
                <w:rFonts w:cs="Arial"/>
                <w:bCs/>
                <w:lang w:eastAsia="pt-BR"/>
              </w:rPr>
              <w:t>Cód. - Função</w:t>
            </w:r>
          </w:p>
        </w:tc>
        <w:tc>
          <w:tcPr>
            <w:tcW w:w="6662" w:type="dxa"/>
            <w:shd w:val="clear" w:color="auto" w:fill="D6E3BC"/>
          </w:tcPr>
          <w:p w:rsidR="00E1092F" w:rsidRPr="00136A11" w:rsidRDefault="00E1092F" w:rsidP="005D779C">
            <w:pPr>
              <w:autoSpaceDE w:val="0"/>
              <w:autoSpaceDN w:val="0"/>
              <w:adjustRightInd w:val="0"/>
              <w:spacing w:after="0" w:line="240" w:lineRule="auto"/>
              <w:ind w:firstLine="1418"/>
              <w:jc w:val="both"/>
              <w:rPr>
                <w:rFonts w:cs="Arial"/>
                <w:bCs/>
                <w:lang w:eastAsia="pt-BR"/>
              </w:rPr>
            </w:pPr>
            <w:r w:rsidRPr="00136A11">
              <w:rPr>
                <w:rFonts w:cs="Arial"/>
                <w:bCs/>
                <w:lang w:eastAsia="pt-BR"/>
              </w:rPr>
              <w:t>Cód. - Subfunção</w:t>
            </w:r>
          </w:p>
        </w:tc>
      </w:tr>
      <w:tr w:rsidR="00302458" w:rsidRPr="00136A11" w:rsidTr="00302458">
        <w:tc>
          <w:tcPr>
            <w:tcW w:w="2694" w:type="dxa"/>
            <w:vMerge w:val="restart"/>
            <w:vAlign w:val="center"/>
          </w:tcPr>
          <w:p w:rsidR="00302458" w:rsidRPr="00136A11" w:rsidRDefault="00302458" w:rsidP="005D779C">
            <w:pPr>
              <w:autoSpaceDE w:val="0"/>
              <w:autoSpaceDN w:val="0"/>
              <w:adjustRightInd w:val="0"/>
              <w:spacing w:after="0" w:line="240" w:lineRule="auto"/>
              <w:rPr>
                <w:rFonts w:cs="Arial"/>
                <w:bCs/>
                <w:lang w:eastAsia="pt-BR"/>
              </w:rPr>
            </w:pPr>
            <w:r w:rsidRPr="00136A11">
              <w:rPr>
                <w:rFonts w:cs="Arial"/>
                <w:bCs/>
                <w:lang w:eastAsia="pt-BR"/>
              </w:rPr>
              <w:t>19 – Ciência e Tecnologia</w:t>
            </w:r>
          </w:p>
        </w:tc>
        <w:tc>
          <w:tcPr>
            <w:tcW w:w="6662" w:type="dxa"/>
          </w:tcPr>
          <w:p w:rsidR="00302458" w:rsidRPr="00136A11" w:rsidRDefault="00302458" w:rsidP="005D779C">
            <w:pPr>
              <w:autoSpaceDE w:val="0"/>
              <w:autoSpaceDN w:val="0"/>
              <w:adjustRightInd w:val="0"/>
              <w:spacing w:after="0" w:line="240" w:lineRule="auto"/>
              <w:ind w:firstLine="1418"/>
              <w:jc w:val="both"/>
              <w:rPr>
                <w:rFonts w:cs="Arial"/>
                <w:bCs/>
                <w:lang w:eastAsia="pt-BR"/>
              </w:rPr>
            </w:pPr>
            <w:proofErr w:type="gramStart"/>
            <w:r w:rsidRPr="00136A11">
              <w:rPr>
                <w:rFonts w:cs="Arial"/>
                <w:bCs/>
                <w:lang w:eastAsia="pt-BR"/>
              </w:rPr>
              <w:t>571 – Desenvolvimento</w:t>
            </w:r>
            <w:proofErr w:type="gramEnd"/>
            <w:r w:rsidRPr="00136A11">
              <w:rPr>
                <w:rFonts w:cs="Arial"/>
                <w:bCs/>
                <w:lang w:eastAsia="pt-BR"/>
              </w:rPr>
              <w:t xml:space="preserve"> Científico</w:t>
            </w:r>
          </w:p>
        </w:tc>
      </w:tr>
      <w:tr w:rsidR="00302458" w:rsidRPr="00136A11" w:rsidTr="00302458">
        <w:tc>
          <w:tcPr>
            <w:tcW w:w="2694" w:type="dxa"/>
            <w:vMerge/>
          </w:tcPr>
          <w:p w:rsidR="00302458" w:rsidRPr="00136A11" w:rsidRDefault="00302458" w:rsidP="005D779C">
            <w:pPr>
              <w:autoSpaceDE w:val="0"/>
              <w:autoSpaceDN w:val="0"/>
              <w:adjustRightInd w:val="0"/>
              <w:spacing w:after="0" w:line="240" w:lineRule="auto"/>
              <w:ind w:firstLine="1418"/>
              <w:jc w:val="both"/>
              <w:rPr>
                <w:rFonts w:cs="Arial"/>
                <w:bCs/>
                <w:lang w:eastAsia="pt-BR"/>
              </w:rPr>
            </w:pPr>
          </w:p>
        </w:tc>
        <w:tc>
          <w:tcPr>
            <w:tcW w:w="6662" w:type="dxa"/>
          </w:tcPr>
          <w:p w:rsidR="00302458" w:rsidRPr="00136A11" w:rsidRDefault="00302458" w:rsidP="005D779C">
            <w:pPr>
              <w:autoSpaceDE w:val="0"/>
              <w:autoSpaceDN w:val="0"/>
              <w:adjustRightInd w:val="0"/>
              <w:spacing w:after="0" w:line="240" w:lineRule="auto"/>
              <w:ind w:firstLine="1418"/>
              <w:jc w:val="both"/>
              <w:rPr>
                <w:rFonts w:cs="Arial"/>
                <w:bCs/>
                <w:lang w:eastAsia="pt-BR"/>
              </w:rPr>
            </w:pPr>
            <w:proofErr w:type="gramStart"/>
            <w:r w:rsidRPr="00136A11">
              <w:rPr>
                <w:rFonts w:cs="Arial"/>
                <w:bCs/>
                <w:lang w:eastAsia="pt-BR"/>
              </w:rPr>
              <w:t>572 – Desenvolvimento</w:t>
            </w:r>
            <w:proofErr w:type="gramEnd"/>
            <w:r w:rsidRPr="00136A11">
              <w:rPr>
                <w:rFonts w:cs="Arial"/>
                <w:bCs/>
                <w:lang w:eastAsia="pt-BR"/>
              </w:rPr>
              <w:t xml:space="preserve"> Tecnológico</w:t>
            </w:r>
          </w:p>
        </w:tc>
      </w:tr>
      <w:tr w:rsidR="00302458" w:rsidRPr="00136A11" w:rsidTr="00302458">
        <w:tc>
          <w:tcPr>
            <w:tcW w:w="2694" w:type="dxa"/>
            <w:vMerge/>
          </w:tcPr>
          <w:p w:rsidR="00302458" w:rsidRPr="00136A11" w:rsidRDefault="00302458" w:rsidP="005D779C">
            <w:pPr>
              <w:autoSpaceDE w:val="0"/>
              <w:autoSpaceDN w:val="0"/>
              <w:adjustRightInd w:val="0"/>
              <w:spacing w:after="0" w:line="240" w:lineRule="auto"/>
              <w:ind w:firstLine="1418"/>
              <w:jc w:val="both"/>
              <w:rPr>
                <w:rFonts w:cs="Arial"/>
                <w:bCs/>
                <w:lang w:eastAsia="pt-BR"/>
              </w:rPr>
            </w:pPr>
          </w:p>
        </w:tc>
        <w:tc>
          <w:tcPr>
            <w:tcW w:w="6662" w:type="dxa"/>
          </w:tcPr>
          <w:p w:rsidR="00302458" w:rsidRPr="00136A11" w:rsidRDefault="00302458" w:rsidP="005D779C">
            <w:pPr>
              <w:autoSpaceDE w:val="0"/>
              <w:autoSpaceDN w:val="0"/>
              <w:adjustRightInd w:val="0"/>
              <w:spacing w:after="0" w:line="240" w:lineRule="auto"/>
              <w:ind w:firstLine="1418"/>
              <w:jc w:val="both"/>
              <w:rPr>
                <w:rFonts w:cs="Arial"/>
                <w:bCs/>
                <w:lang w:eastAsia="pt-BR"/>
              </w:rPr>
            </w:pPr>
            <w:proofErr w:type="gramStart"/>
            <w:r w:rsidRPr="00136A11">
              <w:rPr>
                <w:rFonts w:cs="Arial"/>
                <w:bCs/>
                <w:lang w:eastAsia="pt-BR"/>
              </w:rPr>
              <w:t>573 – Difusão</w:t>
            </w:r>
            <w:proofErr w:type="gramEnd"/>
            <w:r w:rsidRPr="00136A11">
              <w:rPr>
                <w:rFonts w:cs="Arial"/>
                <w:bCs/>
                <w:lang w:eastAsia="pt-BR"/>
              </w:rPr>
              <w:t xml:space="preserve"> de Conhecimento Científico e Tecnológico</w:t>
            </w:r>
          </w:p>
        </w:tc>
      </w:tr>
    </w:tbl>
    <w:p w:rsidR="00E1092F" w:rsidRPr="00136A11" w:rsidRDefault="00E1092F" w:rsidP="005D779C">
      <w:pPr>
        <w:spacing w:after="0" w:line="240" w:lineRule="auto"/>
        <w:ind w:firstLine="141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E1092F" w:rsidRPr="00136A11" w:rsidTr="00302458">
        <w:tc>
          <w:tcPr>
            <w:tcW w:w="2694" w:type="dxa"/>
            <w:shd w:val="clear" w:color="auto" w:fill="D6E3BC"/>
          </w:tcPr>
          <w:p w:rsidR="00E1092F" w:rsidRPr="00136A11" w:rsidRDefault="00E1092F" w:rsidP="005D779C">
            <w:pPr>
              <w:autoSpaceDE w:val="0"/>
              <w:autoSpaceDN w:val="0"/>
              <w:adjustRightInd w:val="0"/>
              <w:spacing w:after="0" w:line="240" w:lineRule="auto"/>
              <w:jc w:val="both"/>
              <w:rPr>
                <w:rFonts w:cs="Arial"/>
                <w:bCs/>
                <w:lang w:eastAsia="pt-BR"/>
              </w:rPr>
            </w:pPr>
            <w:r w:rsidRPr="00136A11">
              <w:rPr>
                <w:rFonts w:cs="Arial"/>
                <w:bCs/>
                <w:lang w:eastAsia="pt-BR"/>
              </w:rPr>
              <w:t>Cód. - Função</w:t>
            </w:r>
          </w:p>
        </w:tc>
        <w:tc>
          <w:tcPr>
            <w:tcW w:w="6662" w:type="dxa"/>
            <w:shd w:val="clear" w:color="auto" w:fill="D6E3BC"/>
          </w:tcPr>
          <w:p w:rsidR="00E1092F" w:rsidRPr="00136A11" w:rsidRDefault="00E1092F" w:rsidP="005D779C">
            <w:pPr>
              <w:autoSpaceDE w:val="0"/>
              <w:autoSpaceDN w:val="0"/>
              <w:adjustRightInd w:val="0"/>
              <w:spacing w:after="0" w:line="240" w:lineRule="auto"/>
              <w:ind w:firstLine="1418"/>
              <w:jc w:val="both"/>
              <w:rPr>
                <w:rFonts w:cs="Arial"/>
                <w:bCs/>
                <w:lang w:eastAsia="pt-BR"/>
              </w:rPr>
            </w:pPr>
            <w:r w:rsidRPr="00136A11">
              <w:rPr>
                <w:rFonts w:cs="Arial"/>
                <w:bCs/>
                <w:lang w:eastAsia="pt-BR"/>
              </w:rPr>
              <w:t>Cód. - Subfunção</w:t>
            </w:r>
          </w:p>
        </w:tc>
      </w:tr>
      <w:tr w:rsidR="00E1092F" w:rsidRPr="00136A11" w:rsidTr="00302458">
        <w:tc>
          <w:tcPr>
            <w:tcW w:w="2694" w:type="dxa"/>
          </w:tcPr>
          <w:p w:rsidR="00E1092F" w:rsidRPr="00136A11" w:rsidRDefault="00E1092F" w:rsidP="005D779C">
            <w:pPr>
              <w:autoSpaceDE w:val="0"/>
              <w:autoSpaceDN w:val="0"/>
              <w:adjustRightInd w:val="0"/>
              <w:spacing w:after="0" w:line="240" w:lineRule="auto"/>
              <w:jc w:val="both"/>
              <w:rPr>
                <w:rFonts w:cs="Arial"/>
                <w:bCs/>
                <w:lang w:eastAsia="pt-BR"/>
              </w:rPr>
            </w:pPr>
            <w:r w:rsidRPr="00136A11">
              <w:rPr>
                <w:rFonts w:cs="Arial"/>
                <w:bCs/>
                <w:lang w:eastAsia="pt-BR"/>
              </w:rPr>
              <w:t>10 – Saúde</w:t>
            </w:r>
          </w:p>
        </w:tc>
        <w:tc>
          <w:tcPr>
            <w:tcW w:w="6662" w:type="dxa"/>
          </w:tcPr>
          <w:p w:rsidR="00E1092F" w:rsidRPr="00136A11" w:rsidRDefault="00E1092F" w:rsidP="005D779C">
            <w:pPr>
              <w:autoSpaceDE w:val="0"/>
              <w:autoSpaceDN w:val="0"/>
              <w:adjustRightInd w:val="0"/>
              <w:spacing w:after="0" w:line="240" w:lineRule="auto"/>
              <w:ind w:firstLine="1418"/>
              <w:jc w:val="both"/>
              <w:rPr>
                <w:rFonts w:cs="Arial"/>
                <w:bCs/>
                <w:lang w:eastAsia="pt-BR"/>
              </w:rPr>
            </w:pPr>
            <w:proofErr w:type="gramStart"/>
            <w:r w:rsidRPr="00136A11">
              <w:rPr>
                <w:rFonts w:cs="Arial"/>
                <w:bCs/>
                <w:lang w:eastAsia="pt-BR"/>
              </w:rPr>
              <w:t>571 – Desenvolvimento</w:t>
            </w:r>
            <w:proofErr w:type="gramEnd"/>
            <w:r w:rsidRPr="00136A11">
              <w:rPr>
                <w:rFonts w:cs="Arial"/>
                <w:bCs/>
                <w:lang w:eastAsia="pt-BR"/>
              </w:rPr>
              <w:t xml:space="preserve"> Científico</w:t>
            </w:r>
          </w:p>
        </w:tc>
      </w:tr>
    </w:tbl>
    <w:p w:rsidR="0060342C" w:rsidRPr="00136A11" w:rsidRDefault="0060342C" w:rsidP="005D779C">
      <w:pPr>
        <w:spacing w:after="0" w:line="240" w:lineRule="auto"/>
        <w:ind w:firstLine="1418"/>
        <w:jc w:val="both"/>
      </w:pPr>
    </w:p>
    <w:p w:rsidR="00040830" w:rsidRPr="00136A11" w:rsidRDefault="00040830" w:rsidP="005D779C">
      <w:pPr>
        <w:pStyle w:val="PargrafodaLista"/>
        <w:numPr>
          <w:ilvl w:val="1"/>
          <w:numId w:val="9"/>
        </w:numPr>
        <w:spacing w:after="0" w:line="240" w:lineRule="auto"/>
        <w:ind w:left="0" w:firstLine="1418"/>
        <w:jc w:val="both"/>
        <w:rPr>
          <w:b/>
        </w:rPr>
      </w:pPr>
      <w:r w:rsidRPr="00136A11">
        <w:rPr>
          <w:b/>
        </w:rPr>
        <w:t>Classificação Programática</w:t>
      </w:r>
    </w:p>
    <w:p w:rsidR="00DC6FB3" w:rsidRPr="00136A11" w:rsidRDefault="00212E45" w:rsidP="005D779C">
      <w:pPr>
        <w:spacing w:after="0" w:line="240" w:lineRule="auto"/>
        <w:ind w:firstLine="1418"/>
        <w:jc w:val="both"/>
      </w:pPr>
      <w:r w:rsidRPr="00136A11">
        <w:t xml:space="preserve">A ação governamental está organizada em programas, os quais são orientados para a realização </w:t>
      </w:r>
      <w:r w:rsidR="00EE6C48" w:rsidRPr="00136A11">
        <w:t xml:space="preserve">dos objetivos definidos para o período do PPA. Por sua vez, os programas são constituídos por ações da qual resultam produtos (bens ou serviços) que contribuem para atender o objetivo do programa. </w:t>
      </w:r>
    </w:p>
    <w:p w:rsidR="00DC6FB3" w:rsidRPr="00136A11" w:rsidRDefault="00DC6FB3" w:rsidP="005D779C">
      <w:pPr>
        <w:spacing w:after="0" w:line="240" w:lineRule="auto"/>
        <w:ind w:firstLine="1418"/>
        <w:jc w:val="both"/>
      </w:pPr>
      <w:r w:rsidRPr="00136A11">
        <w:t>As ações classificam-se em:</w:t>
      </w:r>
    </w:p>
    <w:p w:rsidR="00DC6FB3" w:rsidRPr="00136A11" w:rsidRDefault="00DC6FB3" w:rsidP="005D779C">
      <w:pPr>
        <w:spacing w:after="0" w:line="240" w:lineRule="auto"/>
        <w:ind w:firstLine="1418"/>
        <w:jc w:val="both"/>
      </w:pPr>
      <w:r w:rsidRPr="00136A11">
        <w:t>Atividades - conjunto de operações que concorrem para o alcance do objetivo de programa e que se realizam de modo contínuo e permanente, das quais resulta um produto ou serviço necessário à manutenção da ação de Governo;</w:t>
      </w:r>
    </w:p>
    <w:p w:rsidR="002A66F7" w:rsidRPr="00136A11" w:rsidRDefault="00DC6FB3" w:rsidP="005D779C">
      <w:pPr>
        <w:spacing w:after="0" w:line="240" w:lineRule="auto"/>
        <w:ind w:firstLine="1418"/>
        <w:jc w:val="both"/>
      </w:pPr>
      <w:r w:rsidRPr="00136A11">
        <w:t>Projetos - conjunto de operações que concorrem para o alcance do objetivo do programa, limitadas no tempo, das quais resulta um produto que concorre para a expansão ou o aperfeiçoamento da ação de governo;</w:t>
      </w:r>
    </w:p>
    <w:p w:rsidR="00DC6FB3" w:rsidRPr="00136A11" w:rsidRDefault="00DC6FB3" w:rsidP="005D779C">
      <w:pPr>
        <w:spacing w:after="0" w:line="240" w:lineRule="auto"/>
        <w:ind w:firstLine="1418"/>
        <w:jc w:val="both"/>
      </w:pPr>
      <w:r w:rsidRPr="00136A11">
        <w:t>Operações Especiais – constituiu-se em despesas que não contribuem para a manutenção, expansão ou aperfeiçoamento das ações de governo, das quais não resulta um produto e não geram contraprestação direta sob a forma de bens ou serviços.</w:t>
      </w:r>
    </w:p>
    <w:p w:rsidR="00EF1071" w:rsidRDefault="00EF1071" w:rsidP="005D779C">
      <w:pPr>
        <w:spacing w:after="0" w:line="240" w:lineRule="auto"/>
        <w:ind w:firstLine="1418"/>
        <w:jc w:val="both"/>
      </w:pPr>
    </w:p>
    <w:p w:rsidR="00BF7BD4" w:rsidRPr="00136A11" w:rsidRDefault="00BF7BD4" w:rsidP="005D779C">
      <w:pPr>
        <w:spacing w:after="0" w:line="240" w:lineRule="auto"/>
        <w:ind w:firstLine="1418"/>
        <w:jc w:val="both"/>
      </w:pPr>
    </w:p>
    <w:p w:rsidR="00A44D4D" w:rsidRPr="00136A11" w:rsidRDefault="00A44D4D" w:rsidP="005D779C">
      <w:pPr>
        <w:pStyle w:val="PargrafodaLista"/>
        <w:numPr>
          <w:ilvl w:val="1"/>
          <w:numId w:val="9"/>
        </w:numPr>
        <w:spacing w:after="0" w:line="240" w:lineRule="auto"/>
        <w:ind w:left="0" w:firstLine="1418"/>
        <w:jc w:val="both"/>
        <w:rPr>
          <w:b/>
        </w:rPr>
      </w:pPr>
      <w:r w:rsidRPr="00136A11">
        <w:rPr>
          <w:b/>
        </w:rPr>
        <w:t>Classificação por Natureza da Despesa</w:t>
      </w:r>
    </w:p>
    <w:p w:rsidR="00A44D4D" w:rsidRPr="00136A11" w:rsidRDefault="00A44D4D" w:rsidP="005D779C">
      <w:pPr>
        <w:spacing w:after="0" w:line="240" w:lineRule="auto"/>
        <w:ind w:firstLine="1418"/>
        <w:jc w:val="both"/>
      </w:pPr>
      <w:r w:rsidRPr="00136A11">
        <w:t>A classificação por natureza da despesa busca obter informações sobre os efeitos dos gastos públicos na economia. Assim, esta classificação pode propiciar uma série de informações sobre a contribuição do governo à renda nacional, bem como</w:t>
      </w:r>
      <w:r w:rsidR="003128D3" w:rsidRPr="00136A11">
        <w:t xml:space="preserve">, por exemplo, </w:t>
      </w:r>
      <w:r w:rsidRPr="00136A11">
        <w:t xml:space="preserve">a parcela relativa da formação de capital </w:t>
      </w:r>
      <w:r w:rsidR="003128D3" w:rsidRPr="00136A11">
        <w:t>resultante do setor público.</w:t>
      </w:r>
    </w:p>
    <w:p w:rsidR="00FE3F9B" w:rsidRDefault="00FE3F9B" w:rsidP="005D779C">
      <w:pPr>
        <w:spacing w:after="0" w:line="240" w:lineRule="auto"/>
        <w:ind w:firstLine="1418"/>
        <w:jc w:val="both"/>
      </w:pPr>
      <w:r w:rsidRPr="00136A11">
        <w:t>A classificação por natureza da despesa pode ser decomposta em: categoria econômica, grupo de natureza da despesa</w:t>
      </w:r>
      <w:r w:rsidR="00AC5C33" w:rsidRPr="00136A11">
        <w:t>, modalidade de aplicação</w:t>
      </w:r>
      <w:r w:rsidRPr="00136A11">
        <w:t xml:space="preserve"> e elemento da despesa.</w:t>
      </w:r>
    </w:p>
    <w:p w:rsidR="00EF1071" w:rsidRPr="00136A11" w:rsidRDefault="00EF1071" w:rsidP="005D779C">
      <w:pPr>
        <w:spacing w:after="0" w:line="240" w:lineRule="auto"/>
        <w:ind w:firstLine="1418"/>
        <w:jc w:val="both"/>
      </w:pPr>
    </w:p>
    <w:p w:rsidR="00951D91" w:rsidRPr="00136A11" w:rsidRDefault="00BD44B7" w:rsidP="005D779C">
      <w:pPr>
        <w:spacing w:after="0" w:line="240" w:lineRule="auto"/>
        <w:ind w:firstLine="1418"/>
        <w:jc w:val="both"/>
        <w:rPr>
          <w:b/>
        </w:rPr>
      </w:pPr>
      <w:r w:rsidRPr="00136A11">
        <w:rPr>
          <w:b/>
        </w:rPr>
        <w:t>4</w:t>
      </w:r>
      <w:r w:rsidR="00185087" w:rsidRPr="00136A11">
        <w:rPr>
          <w:b/>
        </w:rPr>
        <w:t>.5.</w:t>
      </w:r>
      <w:r w:rsidRPr="00136A11">
        <w:rPr>
          <w:b/>
        </w:rPr>
        <w:t>1</w:t>
      </w:r>
      <w:r w:rsidR="00185087" w:rsidRPr="00136A11">
        <w:rPr>
          <w:b/>
        </w:rPr>
        <w:t xml:space="preserve"> </w:t>
      </w:r>
      <w:r w:rsidR="00951D91" w:rsidRPr="00136A11">
        <w:rPr>
          <w:b/>
        </w:rPr>
        <w:t>Categoria Econômica</w:t>
      </w:r>
    </w:p>
    <w:p w:rsidR="00951D91" w:rsidRPr="00136A11" w:rsidRDefault="00951D91" w:rsidP="005D779C">
      <w:pPr>
        <w:spacing w:after="0" w:line="240" w:lineRule="auto"/>
        <w:ind w:firstLine="1418"/>
        <w:jc w:val="both"/>
      </w:pPr>
      <w:r w:rsidRPr="00136A11">
        <w:t>A categoria econômica é composta por:</w:t>
      </w:r>
    </w:p>
    <w:p w:rsidR="00951D91" w:rsidRPr="00136A11" w:rsidRDefault="00951D91" w:rsidP="005D779C">
      <w:pPr>
        <w:spacing w:after="0" w:line="240" w:lineRule="auto"/>
        <w:ind w:firstLine="1418"/>
        <w:jc w:val="both"/>
      </w:pPr>
      <w:r w:rsidRPr="00136A11">
        <w:t>Despesa</w:t>
      </w:r>
      <w:r w:rsidR="001222BE" w:rsidRPr="00136A11">
        <w:t>s</w:t>
      </w:r>
      <w:r w:rsidRPr="00136A11">
        <w:t xml:space="preserve"> Corrente</w:t>
      </w:r>
      <w:r w:rsidR="001222BE" w:rsidRPr="00136A11">
        <w:t>s</w:t>
      </w:r>
      <w:r w:rsidRPr="00136A11">
        <w:t>: não contribuem, diretamente, para a formação ou aquisição de um bem de capital.</w:t>
      </w:r>
    </w:p>
    <w:p w:rsidR="00C32DEB" w:rsidRDefault="00951D91" w:rsidP="005D779C">
      <w:pPr>
        <w:spacing w:after="0" w:line="240" w:lineRule="auto"/>
        <w:ind w:firstLine="1418"/>
        <w:jc w:val="both"/>
      </w:pPr>
      <w:r w:rsidRPr="00136A11">
        <w:t>Despesas de Capital: contribuem, diretamente, para a formação ou aquisição de um bem de capital.</w:t>
      </w:r>
    </w:p>
    <w:p w:rsidR="00EF1071" w:rsidRPr="00136A11" w:rsidRDefault="00EF1071" w:rsidP="005D779C">
      <w:pPr>
        <w:spacing w:after="0" w:line="240" w:lineRule="auto"/>
        <w:ind w:firstLine="1418"/>
        <w:jc w:val="both"/>
      </w:pPr>
    </w:p>
    <w:p w:rsidR="008B088E" w:rsidRPr="00136A11" w:rsidRDefault="00BD44B7" w:rsidP="005D779C">
      <w:pPr>
        <w:spacing w:after="0" w:line="240" w:lineRule="auto"/>
        <w:ind w:firstLine="1418"/>
        <w:jc w:val="both"/>
        <w:rPr>
          <w:b/>
        </w:rPr>
      </w:pPr>
      <w:r w:rsidRPr="00136A11">
        <w:rPr>
          <w:b/>
        </w:rPr>
        <w:t>4</w:t>
      </w:r>
      <w:r w:rsidR="00185087" w:rsidRPr="00136A11">
        <w:rPr>
          <w:b/>
        </w:rPr>
        <w:t>.5.2 Gr</w:t>
      </w:r>
      <w:r w:rsidR="00951D91" w:rsidRPr="00136A11">
        <w:rPr>
          <w:b/>
        </w:rPr>
        <w:t>upo de natureza de despesa</w:t>
      </w:r>
    </w:p>
    <w:p w:rsidR="008B088E" w:rsidRDefault="008B088E" w:rsidP="005D779C">
      <w:pPr>
        <w:spacing w:after="0" w:line="240" w:lineRule="auto"/>
        <w:ind w:firstLine="1418"/>
        <w:jc w:val="both"/>
      </w:pPr>
      <w:r w:rsidRPr="00136A11">
        <w:t xml:space="preserve">O grupo de natureza de despesa diz respeito </w:t>
      </w:r>
      <w:r w:rsidR="00A4244C" w:rsidRPr="00136A11">
        <w:t>à</w:t>
      </w:r>
      <w:r w:rsidRPr="00136A11">
        <w:t xml:space="preserve"> agregação de elementos de despesa que apresentam as mesmas características quanto ao objeto de gasto</w:t>
      </w:r>
      <w:r w:rsidR="004055D4" w:rsidRPr="00136A11">
        <w:t xml:space="preserve">, conforme descrito </w:t>
      </w:r>
      <w:r w:rsidR="00D33C34">
        <w:t>no quadro</w:t>
      </w:r>
      <w:r w:rsidR="004055D4" w:rsidRPr="00136A11">
        <w:t xml:space="preserve"> a seguir:</w:t>
      </w:r>
    </w:p>
    <w:p w:rsidR="00EF1071" w:rsidRPr="00136A11" w:rsidRDefault="00EF1071" w:rsidP="005D779C">
      <w:pPr>
        <w:spacing w:after="0" w:line="240" w:lineRule="auto"/>
        <w:ind w:firstLine="1418"/>
        <w:jc w:val="both"/>
      </w:pPr>
    </w:p>
    <w:tbl>
      <w:tblPr>
        <w:tblW w:w="8372" w:type="dxa"/>
        <w:tblInd w:w="1837" w:type="dxa"/>
        <w:tblCellMar>
          <w:left w:w="70" w:type="dxa"/>
          <w:right w:w="70" w:type="dxa"/>
        </w:tblCellMar>
        <w:tblLook w:val="04A0" w:firstRow="1" w:lastRow="0" w:firstColumn="1" w:lastColumn="0" w:noHBand="0" w:noVBand="1"/>
      </w:tblPr>
      <w:tblGrid>
        <w:gridCol w:w="801"/>
        <w:gridCol w:w="4419"/>
        <w:gridCol w:w="788"/>
        <w:gridCol w:w="788"/>
        <w:gridCol w:w="788"/>
        <w:gridCol w:w="788"/>
      </w:tblGrid>
      <w:tr w:rsidR="00C935AB" w:rsidRPr="00136A11" w:rsidTr="00EF1071">
        <w:trPr>
          <w:trHeight w:val="300"/>
        </w:trPr>
        <w:tc>
          <w:tcPr>
            <w:tcW w:w="801"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C935AB" w:rsidRPr="00EF1071" w:rsidRDefault="00EF1071" w:rsidP="005D779C">
            <w:pPr>
              <w:spacing w:after="0" w:line="240" w:lineRule="auto"/>
              <w:rPr>
                <w:rFonts w:eastAsia="Times New Roman" w:cs="Arial"/>
                <w:b/>
                <w:color w:val="000000"/>
                <w:lang w:eastAsia="pt-BR"/>
              </w:rPr>
            </w:pPr>
            <w:r w:rsidRPr="00EF1071">
              <w:rPr>
                <w:rFonts w:eastAsia="Times New Roman" w:cs="Arial"/>
                <w:b/>
                <w:color w:val="000000"/>
                <w:lang w:eastAsia="pt-BR"/>
              </w:rPr>
              <w:t>C</w:t>
            </w:r>
            <w:r w:rsidR="00C935AB" w:rsidRPr="00EF1071">
              <w:rPr>
                <w:rFonts w:eastAsia="Times New Roman" w:cs="Arial"/>
                <w:b/>
                <w:color w:val="000000"/>
                <w:lang w:eastAsia="pt-BR"/>
              </w:rPr>
              <w:t>ódigo</w:t>
            </w:r>
          </w:p>
        </w:tc>
        <w:tc>
          <w:tcPr>
            <w:tcW w:w="4419" w:type="dxa"/>
            <w:tcBorders>
              <w:top w:val="single" w:sz="4" w:space="0" w:color="auto"/>
              <w:left w:val="nil"/>
              <w:bottom w:val="single" w:sz="4" w:space="0" w:color="auto"/>
              <w:right w:val="single" w:sz="4" w:space="0" w:color="auto"/>
            </w:tcBorders>
            <w:shd w:val="clear" w:color="000000" w:fill="D6E3BC"/>
            <w:vAlign w:val="center"/>
            <w:hideMark/>
          </w:tcPr>
          <w:p w:rsidR="00C935AB" w:rsidRPr="00EF1071" w:rsidRDefault="00C935AB" w:rsidP="005D779C">
            <w:pPr>
              <w:spacing w:after="0" w:line="240" w:lineRule="auto"/>
              <w:jc w:val="center"/>
              <w:rPr>
                <w:rFonts w:eastAsia="Times New Roman" w:cs="Arial"/>
                <w:b/>
                <w:color w:val="000000"/>
                <w:lang w:eastAsia="pt-BR"/>
              </w:rPr>
            </w:pPr>
            <w:r w:rsidRPr="00EF1071">
              <w:rPr>
                <w:rFonts w:eastAsia="Times New Roman" w:cs="Arial"/>
                <w:b/>
                <w:color w:val="000000"/>
                <w:lang w:eastAsia="pt-BR"/>
              </w:rPr>
              <w:t>Grupos de Natureza da Despesa</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1</w:t>
            </w:r>
            <w:r w:rsidR="00C935AB" w:rsidRPr="00136A11">
              <w:rPr>
                <w:rFonts w:eastAsia="Times New Roman" w:cs="Calibri"/>
                <w:color w:val="000000"/>
                <w:lang w:eastAsia="pt-BR"/>
              </w:rPr>
              <w:t>1</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Pessoal e Encargos Sociais</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2</w:t>
            </w:r>
            <w:r w:rsidR="00C935AB" w:rsidRPr="00136A11">
              <w:rPr>
                <w:rFonts w:eastAsia="Times New Roman" w:cs="Calibri"/>
                <w:color w:val="000000"/>
                <w:lang w:eastAsia="pt-BR"/>
              </w:rPr>
              <w:t>2</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Juros e Encargos da Dívida</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3</w:t>
            </w:r>
            <w:r w:rsidR="00C935AB" w:rsidRPr="00136A11">
              <w:rPr>
                <w:rFonts w:eastAsia="Times New Roman" w:cs="Calibri"/>
                <w:color w:val="000000"/>
                <w:lang w:eastAsia="pt-BR"/>
              </w:rPr>
              <w:t>3</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Outras Despesas Correntes</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4</w:t>
            </w:r>
            <w:r w:rsidR="00C935AB" w:rsidRPr="00136A11">
              <w:rPr>
                <w:rFonts w:eastAsia="Times New Roman" w:cs="Calibri"/>
                <w:color w:val="000000"/>
                <w:lang w:eastAsia="pt-BR"/>
              </w:rPr>
              <w:t>4</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Investimentos</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5</w:t>
            </w:r>
            <w:r w:rsidR="00C935AB" w:rsidRPr="00136A11">
              <w:rPr>
                <w:rFonts w:eastAsia="Times New Roman" w:cs="Calibri"/>
                <w:color w:val="000000"/>
                <w:lang w:eastAsia="pt-BR"/>
              </w:rPr>
              <w:t>5</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Inversões Financeiras</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801" w:type="dxa"/>
            <w:tcBorders>
              <w:top w:val="nil"/>
              <w:left w:val="single" w:sz="4" w:space="0" w:color="auto"/>
              <w:bottom w:val="single" w:sz="4" w:space="0" w:color="auto"/>
              <w:right w:val="single" w:sz="4" w:space="0" w:color="auto"/>
            </w:tcBorders>
            <w:shd w:val="clear" w:color="auto" w:fill="auto"/>
            <w:noWrap/>
            <w:vAlign w:val="center"/>
            <w:hideMark/>
          </w:tcPr>
          <w:p w:rsidR="00C935AB" w:rsidRPr="00136A11" w:rsidRDefault="00EF1071" w:rsidP="005D779C">
            <w:pPr>
              <w:spacing w:after="0" w:line="240" w:lineRule="auto"/>
              <w:ind w:firstLine="1418"/>
              <w:jc w:val="center"/>
              <w:rPr>
                <w:rFonts w:eastAsia="Times New Roman" w:cs="Calibri"/>
                <w:color w:val="000000"/>
                <w:lang w:eastAsia="pt-BR"/>
              </w:rPr>
            </w:pPr>
            <w:r>
              <w:rPr>
                <w:rFonts w:eastAsia="Times New Roman" w:cs="Calibri"/>
                <w:color w:val="000000"/>
                <w:lang w:eastAsia="pt-BR"/>
              </w:rPr>
              <w:t>6</w:t>
            </w:r>
            <w:r w:rsidR="00C935AB" w:rsidRPr="00136A11">
              <w:rPr>
                <w:rFonts w:eastAsia="Times New Roman" w:cs="Calibri"/>
                <w:color w:val="000000"/>
                <w:lang w:eastAsia="pt-BR"/>
              </w:rPr>
              <w:t>6</w:t>
            </w:r>
          </w:p>
        </w:tc>
        <w:tc>
          <w:tcPr>
            <w:tcW w:w="4419" w:type="dxa"/>
            <w:tcBorders>
              <w:top w:val="nil"/>
              <w:left w:val="nil"/>
              <w:bottom w:val="single" w:sz="4" w:space="0" w:color="auto"/>
              <w:right w:val="single" w:sz="4" w:space="0" w:color="auto"/>
            </w:tcBorders>
            <w:shd w:val="clear" w:color="auto" w:fill="auto"/>
            <w:noWrap/>
            <w:vAlign w:val="center"/>
            <w:hideMark/>
          </w:tcPr>
          <w:p w:rsidR="00C935AB" w:rsidRPr="00136A11" w:rsidRDefault="00C935AB" w:rsidP="005D779C">
            <w:pPr>
              <w:spacing w:after="0" w:line="240" w:lineRule="auto"/>
              <w:ind w:firstLine="1418"/>
              <w:rPr>
                <w:rFonts w:eastAsia="Times New Roman" w:cs="Calibri"/>
                <w:color w:val="000000"/>
                <w:lang w:eastAsia="pt-BR"/>
              </w:rPr>
            </w:pPr>
            <w:r w:rsidRPr="00136A11">
              <w:rPr>
                <w:rFonts w:eastAsia="Times New Roman" w:cs="Calibri"/>
                <w:color w:val="000000"/>
                <w:lang w:eastAsia="pt-BR"/>
              </w:rPr>
              <w:t>Amortização da Dívida</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r w:rsidR="00C935AB" w:rsidRPr="00136A11" w:rsidTr="00EF1071">
        <w:trPr>
          <w:trHeight w:val="300"/>
        </w:trPr>
        <w:tc>
          <w:tcPr>
            <w:tcW w:w="5220" w:type="dxa"/>
            <w:gridSpan w:val="2"/>
            <w:tcBorders>
              <w:top w:val="nil"/>
              <w:left w:val="nil"/>
              <w:bottom w:val="nil"/>
              <w:right w:val="nil"/>
            </w:tcBorders>
            <w:shd w:val="clear" w:color="auto" w:fill="auto"/>
            <w:noWrap/>
            <w:vAlign w:val="bottom"/>
            <w:hideMark/>
          </w:tcPr>
          <w:p w:rsidR="00C935AB" w:rsidRPr="00136A11" w:rsidRDefault="00C935AB" w:rsidP="005D779C">
            <w:pPr>
              <w:spacing w:after="0" w:line="240" w:lineRule="auto"/>
              <w:jc w:val="both"/>
              <w:rPr>
                <w:rFonts w:eastAsia="Times New Roman" w:cs="Calibri"/>
                <w:b/>
                <w:color w:val="000000"/>
                <w:lang w:eastAsia="pt-BR"/>
              </w:rPr>
            </w:pPr>
            <w:r w:rsidRPr="00136A11">
              <w:rPr>
                <w:rFonts w:eastAsia="Times New Roman" w:cs="Calibri"/>
                <w:b/>
                <w:color w:val="000000"/>
                <w:lang w:eastAsia="pt-BR"/>
              </w:rPr>
              <w:t xml:space="preserve">Fonte: Manual Técnico do Orçamento, </w:t>
            </w:r>
            <w:proofErr w:type="gramStart"/>
            <w:r w:rsidRPr="00136A11">
              <w:rPr>
                <w:rFonts w:eastAsia="Times New Roman" w:cs="Calibri"/>
                <w:b/>
                <w:color w:val="000000"/>
                <w:lang w:eastAsia="pt-BR"/>
              </w:rPr>
              <w:t>SOF</w:t>
            </w:r>
            <w:proofErr w:type="gramEnd"/>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c>
          <w:tcPr>
            <w:tcW w:w="788" w:type="dxa"/>
            <w:tcBorders>
              <w:top w:val="nil"/>
              <w:left w:val="nil"/>
              <w:bottom w:val="nil"/>
              <w:right w:val="nil"/>
            </w:tcBorders>
            <w:shd w:val="clear" w:color="000000" w:fill="FFFFFF"/>
            <w:noWrap/>
            <w:vAlign w:val="bottom"/>
            <w:hideMark/>
          </w:tcPr>
          <w:p w:rsidR="00C935AB" w:rsidRPr="00136A11" w:rsidRDefault="00C935AB" w:rsidP="005D779C">
            <w:pPr>
              <w:spacing w:after="0" w:line="240" w:lineRule="auto"/>
              <w:ind w:firstLine="1418"/>
              <w:jc w:val="both"/>
              <w:rPr>
                <w:rFonts w:eastAsia="Times New Roman" w:cs="Calibri"/>
                <w:color w:val="000000"/>
                <w:lang w:eastAsia="pt-BR"/>
              </w:rPr>
            </w:pPr>
            <w:r w:rsidRPr="00136A11">
              <w:rPr>
                <w:rFonts w:eastAsia="Times New Roman" w:cs="Calibri"/>
                <w:color w:val="000000"/>
                <w:lang w:eastAsia="pt-BR"/>
              </w:rPr>
              <w:t> </w:t>
            </w:r>
          </w:p>
        </w:tc>
      </w:tr>
    </w:tbl>
    <w:p w:rsidR="00A31C62" w:rsidRPr="00136A11" w:rsidRDefault="00A31C62" w:rsidP="005D779C">
      <w:pPr>
        <w:spacing w:after="0" w:line="240" w:lineRule="auto"/>
        <w:ind w:firstLine="1418"/>
        <w:jc w:val="both"/>
      </w:pPr>
    </w:p>
    <w:p w:rsidR="00C32DEB" w:rsidRDefault="00C32DEB" w:rsidP="005D779C">
      <w:pPr>
        <w:spacing w:after="0" w:line="240" w:lineRule="auto"/>
        <w:ind w:firstLine="1418"/>
        <w:jc w:val="both"/>
      </w:pPr>
      <w:r w:rsidRPr="00136A11">
        <w:t xml:space="preserve">A tabela 3 traz a evolução do orçamento do Ministério de Ciência, Tecnologia e Inovação </w:t>
      </w:r>
      <w:r w:rsidR="00C802F5" w:rsidRPr="00136A11">
        <w:t>segundo a classificação do grupo de natureza de despes</w:t>
      </w:r>
      <w:r w:rsidR="00234CD2" w:rsidRPr="00136A11">
        <w:t>a para o período de 2004 a 2010.</w:t>
      </w:r>
    </w:p>
    <w:p w:rsidR="00D41989" w:rsidRPr="00136A11" w:rsidRDefault="00D41989" w:rsidP="005D779C">
      <w:pPr>
        <w:spacing w:after="0" w:line="240" w:lineRule="auto"/>
        <w:ind w:firstLine="1418"/>
        <w:jc w:val="both"/>
      </w:pPr>
    </w:p>
    <w:p w:rsidR="007B1A69" w:rsidRPr="00136A11" w:rsidRDefault="00BD44B7" w:rsidP="005D779C">
      <w:pPr>
        <w:pStyle w:val="PargrafodaLista"/>
        <w:spacing w:after="0" w:line="240" w:lineRule="auto"/>
        <w:ind w:left="0" w:firstLine="1418"/>
        <w:jc w:val="both"/>
        <w:rPr>
          <w:b/>
        </w:rPr>
      </w:pPr>
      <w:r w:rsidRPr="00136A11">
        <w:rPr>
          <w:b/>
        </w:rPr>
        <w:t>4</w:t>
      </w:r>
      <w:r w:rsidR="00185087" w:rsidRPr="00136A11">
        <w:rPr>
          <w:b/>
        </w:rPr>
        <w:t xml:space="preserve">.5.3 </w:t>
      </w:r>
      <w:r w:rsidR="007B1A69" w:rsidRPr="00136A11">
        <w:rPr>
          <w:b/>
        </w:rPr>
        <w:t>Modalidade de aplicação</w:t>
      </w:r>
    </w:p>
    <w:p w:rsidR="007B1A69" w:rsidRPr="00136A11" w:rsidRDefault="007B1A69" w:rsidP="005D779C">
      <w:pPr>
        <w:spacing w:after="0" w:line="240" w:lineRule="auto"/>
        <w:ind w:firstLine="1418"/>
        <w:jc w:val="both"/>
      </w:pPr>
      <w:r w:rsidRPr="00136A11">
        <w:t>A modalidade de aplicação tem por finalidade identificar se os recursos são aplicados diretamente por órgãos ou entidades no âmbito da mesma esfera de Governo ou por outro ente da federação e suas respectivas entidades.</w:t>
      </w:r>
    </w:p>
    <w:p w:rsidR="00D41989" w:rsidRDefault="00D41989" w:rsidP="005D779C">
      <w:pPr>
        <w:spacing w:after="0" w:line="240" w:lineRule="auto"/>
        <w:ind w:firstLine="1418"/>
        <w:jc w:val="both"/>
        <w:rPr>
          <w:b/>
        </w:rPr>
      </w:pPr>
    </w:p>
    <w:p w:rsidR="00625B35" w:rsidRPr="00136A11" w:rsidRDefault="00BD44B7" w:rsidP="005D779C">
      <w:pPr>
        <w:spacing w:after="0" w:line="240" w:lineRule="auto"/>
        <w:ind w:firstLine="1418"/>
        <w:jc w:val="both"/>
        <w:rPr>
          <w:b/>
        </w:rPr>
      </w:pPr>
      <w:r w:rsidRPr="00136A11">
        <w:rPr>
          <w:b/>
        </w:rPr>
        <w:t>4</w:t>
      </w:r>
      <w:r w:rsidR="00185087" w:rsidRPr="00136A11">
        <w:rPr>
          <w:b/>
        </w:rPr>
        <w:t xml:space="preserve">.5.4 </w:t>
      </w:r>
      <w:r w:rsidR="00625B35" w:rsidRPr="00136A11">
        <w:rPr>
          <w:b/>
        </w:rPr>
        <w:t>Elemento de despesa</w:t>
      </w:r>
    </w:p>
    <w:p w:rsidR="0060342C" w:rsidRPr="00136A11" w:rsidRDefault="00625B35" w:rsidP="005D779C">
      <w:pPr>
        <w:spacing w:after="0" w:line="240" w:lineRule="auto"/>
        <w:ind w:firstLine="1418"/>
        <w:jc w:val="both"/>
      </w:pPr>
      <w:r w:rsidRPr="00136A11">
        <w:t xml:space="preserve">O elemento de despesa visa identificar os objetos de gasto como </w:t>
      </w:r>
      <w:proofErr w:type="gramStart"/>
      <w:r w:rsidRPr="00136A11">
        <w:t>diárias, material</w:t>
      </w:r>
      <w:proofErr w:type="gramEnd"/>
      <w:r w:rsidRPr="00136A11">
        <w:t xml:space="preserve"> de consumo, serviç</w:t>
      </w:r>
      <w:r w:rsidR="00EF1071">
        <w:t>os prestados por terceiros</w:t>
      </w:r>
      <w:r w:rsidR="0040410F" w:rsidRPr="00136A11">
        <w:t xml:space="preserve"> etc.</w:t>
      </w:r>
    </w:p>
    <w:p w:rsidR="00360A71" w:rsidRDefault="00360A71" w:rsidP="005D779C">
      <w:pPr>
        <w:spacing w:after="0" w:line="240" w:lineRule="auto"/>
        <w:ind w:firstLine="1418"/>
        <w:jc w:val="both"/>
      </w:pPr>
    </w:p>
    <w:p w:rsidR="00A86E80" w:rsidRDefault="00A86E80" w:rsidP="005D779C">
      <w:pPr>
        <w:spacing w:after="0" w:line="240" w:lineRule="auto"/>
        <w:ind w:firstLine="1418"/>
        <w:jc w:val="both"/>
      </w:pPr>
    </w:p>
    <w:p w:rsidR="00A86E80" w:rsidRDefault="00A86E80" w:rsidP="005D779C">
      <w:pPr>
        <w:spacing w:after="0" w:line="240" w:lineRule="auto"/>
        <w:ind w:firstLine="1418"/>
        <w:jc w:val="both"/>
      </w:pPr>
    </w:p>
    <w:p w:rsidR="00A86E80" w:rsidRDefault="00A86E80" w:rsidP="005D779C">
      <w:pPr>
        <w:spacing w:after="0" w:line="240" w:lineRule="auto"/>
        <w:ind w:firstLine="1418"/>
        <w:jc w:val="both"/>
      </w:pPr>
    </w:p>
    <w:p w:rsidR="00A86E80" w:rsidRPr="00136A11" w:rsidRDefault="00A86E80" w:rsidP="005D779C">
      <w:pPr>
        <w:spacing w:after="0" w:line="240" w:lineRule="auto"/>
        <w:ind w:firstLine="1418"/>
        <w:jc w:val="both"/>
      </w:pPr>
    </w:p>
    <w:p w:rsidR="00E00475" w:rsidRPr="00136A11" w:rsidRDefault="00E00475" w:rsidP="005D779C">
      <w:pPr>
        <w:pStyle w:val="PargrafodaLista"/>
        <w:numPr>
          <w:ilvl w:val="1"/>
          <w:numId w:val="9"/>
        </w:numPr>
        <w:spacing w:after="0" w:line="240" w:lineRule="auto"/>
        <w:ind w:left="0" w:firstLine="1418"/>
        <w:jc w:val="both"/>
        <w:rPr>
          <w:b/>
        </w:rPr>
      </w:pPr>
      <w:r w:rsidRPr="00136A11">
        <w:rPr>
          <w:b/>
        </w:rPr>
        <w:t>Identificador de uso</w:t>
      </w:r>
      <w:r w:rsidR="00F83FC6" w:rsidRPr="00136A11">
        <w:rPr>
          <w:b/>
        </w:rPr>
        <w:t xml:space="preserve"> - IDUSO</w:t>
      </w:r>
    </w:p>
    <w:p w:rsidR="00E00475" w:rsidRDefault="00E00475" w:rsidP="005D779C">
      <w:pPr>
        <w:spacing w:after="0" w:line="240" w:lineRule="auto"/>
        <w:ind w:firstLine="1418"/>
        <w:jc w:val="both"/>
      </w:pPr>
      <w:r w:rsidRPr="00136A11">
        <w:t>O identificador de uso visa identificar se os recursos compõe</w:t>
      </w:r>
      <w:r w:rsidR="007512B0" w:rsidRPr="00136A11">
        <w:t>m</w:t>
      </w:r>
      <w:r w:rsidRPr="00136A11">
        <w:t xml:space="preserve"> contrapartida nacional de empréstimos, doações ou </w:t>
      </w:r>
      <w:r w:rsidR="008D47F5" w:rsidRPr="00136A11">
        <w:t xml:space="preserve">se </w:t>
      </w:r>
      <w:r w:rsidR="0011729E" w:rsidRPr="00136A11">
        <w:t>destinam</w:t>
      </w:r>
      <w:r w:rsidRPr="00136A11">
        <w:t xml:space="preserve"> a outras aplicações.</w:t>
      </w:r>
    </w:p>
    <w:p w:rsidR="00EF1071" w:rsidRDefault="00EF1071" w:rsidP="005D779C">
      <w:pPr>
        <w:spacing w:after="0" w:line="240" w:lineRule="auto"/>
        <w:ind w:firstLine="1418"/>
        <w:jc w:val="both"/>
      </w:pPr>
    </w:p>
    <w:p w:rsidR="00BF7BD4" w:rsidRPr="00136A11" w:rsidRDefault="00BF7BD4" w:rsidP="005D779C">
      <w:pPr>
        <w:spacing w:after="0" w:line="240" w:lineRule="auto"/>
        <w:ind w:firstLine="1418"/>
        <w:jc w:val="both"/>
      </w:pPr>
    </w:p>
    <w:tbl>
      <w:tblPr>
        <w:tblW w:w="5064" w:type="dxa"/>
        <w:tblInd w:w="1913" w:type="dxa"/>
        <w:tblCellMar>
          <w:left w:w="70" w:type="dxa"/>
          <w:right w:w="70" w:type="dxa"/>
        </w:tblCellMar>
        <w:tblLook w:val="04A0" w:firstRow="1" w:lastRow="0" w:firstColumn="1" w:lastColumn="0" w:noHBand="0" w:noVBand="1"/>
      </w:tblPr>
      <w:tblGrid>
        <w:gridCol w:w="1144"/>
        <w:gridCol w:w="3920"/>
      </w:tblGrid>
      <w:tr w:rsidR="00F83FC6" w:rsidRPr="00136A11" w:rsidTr="00EF1071">
        <w:trPr>
          <w:trHeight w:val="300"/>
        </w:trPr>
        <w:tc>
          <w:tcPr>
            <w:tcW w:w="1144" w:type="dxa"/>
            <w:tcBorders>
              <w:top w:val="single" w:sz="4" w:space="0" w:color="auto"/>
              <w:left w:val="single" w:sz="4" w:space="0" w:color="auto"/>
              <w:bottom w:val="single" w:sz="4" w:space="0" w:color="auto"/>
              <w:right w:val="single" w:sz="4" w:space="0" w:color="auto"/>
            </w:tcBorders>
            <w:shd w:val="clear" w:color="000000" w:fill="D6E3BC"/>
            <w:vAlign w:val="center"/>
            <w:hideMark/>
          </w:tcPr>
          <w:p w:rsidR="00F83FC6" w:rsidRPr="00EF1071" w:rsidRDefault="00EF1071" w:rsidP="005D779C">
            <w:pPr>
              <w:spacing w:after="0" w:line="240" w:lineRule="auto"/>
              <w:jc w:val="both"/>
              <w:rPr>
                <w:rFonts w:eastAsia="Times New Roman" w:cs="Arial"/>
                <w:b/>
                <w:color w:val="000000"/>
                <w:lang w:eastAsia="pt-BR"/>
              </w:rPr>
            </w:pPr>
            <w:r w:rsidRPr="00EF1071">
              <w:rPr>
                <w:rFonts w:eastAsia="Times New Roman" w:cs="Arial"/>
                <w:b/>
                <w:color w:val="000000"/>
                <w:lang w:eastAsia="pt-BR"/>
              </w:rPr>
              <w:t>C</w:t>
            </w:r>
            <w:r w:rsidR="00F83FC6" w:rsidRPr="00EF1071">
              <w:rPr>
                <w:rFonts w:eastAsia="Times New Roman" w:cs="Arial"/>
                <w:b/>
                <w:color w:val="000000"/>
                <w:lang w:eastAsia="pt-BR"/>
              </w:rPr>
              <w:t>ódigo</w:t>
            </w:r>
          </w:p>
        </w:tc>
        <w:tc>
          <w:tcPr>
            <w:tcW w:w="3920" w:type="dxa"/>
            <w:tcBorders>
              <w:top w:val="single" w:sz="4" w:space="0" w:color="auto"/>
              <w:left w:val="nil"/>
              <w:bottom w:val="single" w:sz="4" w:space="0" w:color="auto"/>
              <w:right w:val="single" w:sz="4" w:space="0" w:color="auto"/>
            </w:tcBorders>
            <w:shd w:val="clear" w:color="000000" w:fill="D6E3BC"/>
            <w:vAlign w:val="center"/>
            <w:hideMark/>
          </w:tcPr>
          <w:p w:rsidR="00F83FC6" w:rsidRPr="00EF1071" w:rsidRDefault="00F83FC6" w:rsidP="005D779C">
            <w:pPr>
              <w:spacing w:after="0" w:line="240" w:lineRule="auto"/>
              <w:ind w:firstLine="1418"/>
              <w:jc w:val="both"/>
              <w:rPr>
                <w:rFonts w:eastAsia="Times New Roman" w:cs="Arial"/>
                <w:b/>
                <w:color w:val="000000"/>
                <w:lang w:eastAsia="pt-BR"/>
              </w:rPr>
            </w:pPr>
            <w:r w:rsidRPr="00EF1071">
              <w:rPr>
                <w:rFonts w:eastAsia="Times New Roman" w:cs="Arial"/>
                <w:b/>
                <w:color w:val="000000"/>
                <w:lang w:eastAsia="pt-BR"/>
              </w:rPr>
              <w:t>Descrição</w:t>
            </w:r>
          </w:p>
        </w:tc>
      </w:tr>
      <w:tr w:rsidR="00F83FC6" w:rsidRPr="00136A11" w:rsidTr="00EF1071">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0</w:t>
            </w:r>
            <w:r w:rsidR="00F83FC6" w:rsidRPr="00136A11">
              <w:rPr>
                <w:rFonts w:eastAsia="Times New Roman" w:cs="Calibri"/>
                <w:color w:val="000000"/>
                <w:lang w:eastAsia="pt-BR"/>
              </w:rPr>
              <w:t>0</w:t>
            </w:r>
          </w:p>
        </w:tc>
        <w:tc>
          <w:tcPr>
            <w:tcW w:w="3920" w:type="dxa"/>
            <w:tcBorders>
              <w:top w:val="nil"/>
              <w:left w:val="nil"/>
              <w:bottom w:val="single" w:sz="4" w:space="0" w:color="auto"/>
              <w:right w:val="single" w:sz="4" w:space="0" w:color="auto"/>
            </w:tcBorders>
            <w:shd w:val="clear" w:color="auto" w:fill="auto"/>
            <w:noWrap/>
            <w:vAlign w:val="bottom"/>
            <w:hideMark/>
          </w:tcPr>
          <w:p w:rsidR="00F83FC6" w:rsidRPr="00136A11" w:rsidRDefault="00F83FC6"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Recursos não destinados à contrapartida</w:t>
            </w:r>
          </w:p>
        </w:tc>
      </w:tr>
      <w:tr w:rsidR="00F83FC6" w:rsidRPr="00136A11" w:rsidTr="00EF1071">
        <w:trPr>
          <w:trHeight w:val="9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1</w:t>
            </w:r>
            <w:r w:rsidR="00F83FC6" w:rsidRPr="00136A11">
              <w:rPr>
                <w:rFonts w:eastAsia="Times New Roman" w:cs="Calibri"/>
                <w:color w:val="000000"/>
                <w:lang w:eastAsia="pt-BR"/>
              </w:rPr>
              <w:t>1</w:t>
            </w:r>
          </w:p>
        </w:tc>
        <w:tc>
          <w:tcPr>
            <w:tcW w:w="3920" w:type="dxa"/>
            <w:tcBorders>
              <w:top w:val="nil"/>
              <w:left w:val="nil"/>
              <w:bottom w:val="single" w:sz="4" w:space="0" w:color="auto"/>
              <w:right w:val="single" w:sz="4" w:space="0" w:color="auto"/>
            </w:tcBorders>
            <w:shd w:val="clear" w:color="auto" w:fill="auto"/>
            <w:vAlign w:val="bottom"/>
            <w:hideMark/>
          </w:tcPr>
          <w:p w:rsidR="00F83FC6" w:rsidRPr="00136A11" w:rsidRDefault="00F83FC6"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Contrapartida de empréstimos do Banco Internacional para a Reconstrução e o Desenvolvimento - BIRD</w:t>
            </w:r>
          </w:p>
        </w:tc>
      </w:tr>
      <w:tr w:rsidR="00F83FC6" w:rsidRPr="00136A11" w:rsidTr="00EF1071">
        <w:trPr>
          <w:trHeight w:val="9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2</w:t>
            </w:r>
            <w:r w:rsidR="00F83FC6" w:rsidRPr="00136A11">
              <w:rPr>
                <w:rFonts w:eastAsia="Times New Roman" w:cs="Calibri"/>
                <w:color w:val="000000"/>
                <w:lang w:eastAsia="pt-BR"/>
              </w:rPr>
              <w:t>2</w:t>
            </w:r>
          </w:p>
        </w:tc>
        <w:tc>
          <w:tcPr>
            <w:tcW w:w="3920" w:type="dxa"/>
            <w:tcBorders>
              <w:top w:val="nil"/>
              <w:left w:val="nil"/>
              <w:bottom w:val="single" w:sz="4" w:space="0" w:color="auto"/>
              <w:right w:val="single" w:sz="4" w:space="0" w:color="auto"/>
            </w:tcBorders>
            <w:shd w:val="clear" w:color="auto" w:fill="auto"/>
            <w:vAlign w:val="bottom"/>
            <w:hideMark/>
          </w:tcPr>
          <w:p w:rsidR="00F83FC6" w:rsidRPr="00136A11" w:rsidRDefault="00F83FC6"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Contrapartida de empréstimos do Banco Internacional para a Reconstrução e o Desenvolvimento - BIRD</w:t>
            </w:r>
          </w:p>
        </w:tc>
      </w:tr>
      <w:tr w:rsidR="00F83FC6" w:rsidRPr="00136A11" w:rsidTr="00EF1071">
        <w:trPr>
          <w:trHeight w:val="9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3</w:t>
            </w:r>
            <w:r w:rsidR="00F83FC6" w:rsidRPr="00136A11">
              <w:rPr>
                <w:rFonts w:eastAsia="Times New Roman" w:cs="Calibri"/>
                <w:color w:val="000000"/>
                <w:lang w:eastAsia="pt-BR"/>
              </w:rPr>
              <w:t>3</w:t>
            </w:r>
          </w:p>
        </w:tc>
        <w:tc>
          <w:tcPr>
            <w:tcW w:w="3920" w:type="dxa"/>
            <w:tcBorders>
              <w:top w:val="nil"/>
              <w:left w:val="nil"/>
              <w:bottom w:val="single" w:sz="4" w:space="0" w:color="auto"/>
              <w:right w:val="single" w:sz="4" w:space="0" w:color="auto"/>
            </w:tcBorders>
            <w:shd w:val="clear" w:color="auto" w:fill="auto"/>
            <w:vAlign w:val="bottom"/>
            <w:hideMark/>
          </w:tcPr>
          <w:p w:rsidR="00F83FC6" w:rsidRPr="00136A11" w:rsidRDefault="00F83FC6"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 xml:space="preserve">Contrapartida de empréstimos </w:t>
            </w:r>
            <w:proofErr w:type="gramStart"/>
            <w:r w:rsidRPr="00136A11">
              <w:rPr>
                <w:rFonts w:eastAsia="Times New Roman" w:cs="Calibri"/>
                <w:color w:val="000000"/>
                <w:lang w:eastAsia="pt-BR"/>
              </w:rPr>
              <w:t>pro desempenho</w:t>
            </w:r>
            <w:proofErr w:type="gramEnd"/>
            <w:r w:rsidRPr="00136A11">
              <w:rPr>
                <w:rFonts w:eastAsia="Times New Roman" w:cs="Calibri"/>
                <w:color w:val="000000"/>
                <w:lang w:eastAsia="pt-BR"/>
              </w:rPr>
              <w:t xml:space="preserve"> ou com enfoque setorial amplo</w:t>
            </w:r>
          </w:p>
        </w:tc>
      </w:tr>
      <w:tr w:rsidR="00F83FC6" w:rsidRPr="00136A11" w:rsidTr="00EF1071">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4</w:t>
            </w:r>
            <w:r w:rsidR="00F83FC6" w:rsidRPr="00136A11">
              <w:rPr>
                <w:rFonts w:eastAsia="Times New Roman" w:cs="Calibri"/>
                <w:color w:val="000000"/>
                <w:lang w:eastAsia="pt-BR"/>
              </w:rPr>
              <w:t>4</w:t>
            </w:r>
          </w:p>
        </w:tc>
        <w:tc>
          <w:tcPr>
            <w:tcW w:w="3920" w:type="dxa"/>
            <w:tcBorders>
              <w:top w:val="nil"/>
              <w:left w:val="nil"/>
              <w:bottom w:val="single" w:sz="4" w:space="0" w:color="auto"/>
              <w:right w:val="single" w:sz="4" w:space="0" w:color="auto"/>
            </w:tcBorders>
            <w:shd w:val="clear" w:color="auto" w:fill="auto"/>
            <w:noWrap/>
            <w:vAlign w:val="bottom"/>
            <w:hideMark/>
          </w:tcPr>
          <w:p w:rsidR="00F83FC6" w:rsidRPr="00136A11" w:rsidRDefault="00EF1071" w:rsidP="005D779C">
            <w:pPr>
              <w:spacing w:after="0" w:line="240" w:lineRule="auto"/>
              <w:jc w:val="both"/>
              <w:rPr>
                <w:rFonts w:eastAsia="Times New Roman" w:cs="Calibri"/>
                <w:color w:val="000000"/>
                <w:lang w:eastAsia="pt-BR"/>
              </w:rPr>
            </w:pPr>
            <w:r>
              <w:rPr>
                <w:rFonts w:eastAsia="Times New Roman" w:cs="Calibri"/>
                <w:color w:val="000000"/>
                <w:lang w:eastAsia="pt-BR"/>
              </w:rPr>
              <w:t>C</w:t>
            </w:r>
            <w:r w:rsidR="00F83FC6" w:rsidRPr="00136A11">
              <w:rPr>
                <w:rFonts w:eastAsia="Times New Roman" w:cs="Calibri"/>
                <w:color w:val="000000"/>
                <w:lang w:eastAsia="pt-BR"/>
              </w:rPr>
              <w:t>ontrapartida de outros empréstimos</w:t>
            </w:r>
          </w:p>
        </w:tc>
      </w:tr>
      <w:tr w:rsidR="00F83FC6" w:rsidRPr="00136A11" w:rsidTr="00EF1071">
        <w:trPr>
          <w:trHeight w:val="300"/>
        </w:trPr>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F83FC6" w:rsidRPr="00136A11" w:rsidRDefault="005D779C" w:rsidP="005D779C">
            <w:pPr>
              <w:spacing w:after="0" w:line="240" w:lineRule="auto"/>
              <w:ind w:firstLine="1418"/>
              <w:jc w:val="both"/>
              <w:rPr>
                <w:rFonts w:eastAsia="Times New Roman" w:cs="Calibri"/>
                <w:color w:val="000000"/>
                <w:lang w:eastAsia="pt-BR"/>
              </w:rPr>
            </w:pPr>
            <w:r>
              <w:rPr>
                <w:rFonts w:eastAsia="Times New Roman" w:cs="Calibri"/>
                <w:color w:val="000000"/>
                <w:lang w:eastAsia="pt-BR"/>
              </w:rPr>
              <w:t>5</w:t>
            </w:r>
            <w:r w:rsidR="00F83FC6" w:rsidRPr="00136A11">
              <w:rPr>
                <w:rFonts w:eastAsia="Times New Roman" w:cs="Calibri"/>
                <w:color w:val="000000"/>
                <w:lang w:eastAsia="pt-BR"/>
              </w:rPr>
              <w:t>5</w:t>
            </w:r>
          </w:p>
        </w:tc>
        <w:tc>
          <w:tcPr>
            <w:tcW w:w="3920" w:type="dxa"/>
            <w:tcBorders>
              <w:top w:val="nil"/>
              <w:left w:val="nil"/>
              <w:bottom w:val="single" w:sz="4" w:space="0" w:color="auto"/>
              <w:right w:val="single" w:sz="4" w:space="0" w:color="auto"/>
            </w:tcBorders>
            <w:shd w:val="clear" w:color="auto" w:fill="auto"/>
            <w:noWrap/>
            <w:vAlign w:val="bottom"/>
            <w:hideMark/>
          </w:tcPr>
          <w:p w:rsidR="00F83FC6" w:rsidRPr="00136A11" w:rsidRDefault="00F83FC6" w:rsidP="005D779C">
            <w:pPr>
              <w:spacing w:after="0" w:line="240" w:lineRule="auto"/>
              <w:jc w:val="both"/>
              <w:rPr>
                <w:rFonts w:eastAsia="Times New Roman" w:cs="Calibri"/>
                <w:color w:val="000000"/>
                <w:lang w:eastAsia="pt-BR"/>
              </w:rPr>
            </w:pPr>
            <w:r w:rsidRPr="00136A11">
              <w:rPr>
                <w:rFonts w:eastAsia="Times New Roman" w:cs="Calibri"/>
                <w:color w:val="000000"/>
                <w:lang w:eastAsia="pt-BR"/>
              </w:rPr>
              <w:t>Contrapartida de doações</w:t>
            </w:r>
          </w:p>
        </w:tc>
      </w:tr>
      <w:tr w:rsidR="00F83FC6" w:rsidRPr="00136A11" w:rsidTr="00EF1071">
        <w:trPr>
          <w:trHeight w:val="300"/>
        </w:trPr>
        <w:tc>
          <w:tcPr>
            <w:tcW w:w="5064" w:type="dxa"/>
            <w:gridSpan w:val="2"/>
            <w:tcBorders>
              <w:top w:val="nil"/>
              <w:left w:val="nil"/>
              <w:bottom w:val="nil"/>
              <w:right w:val="nil"/>
            </w:tcBorders>
            <w:shd w:val="clear" w:color="000000" w:fill="FFFFFF"/>
            <w:noWrap/>
            <w:vAlign w:val="bottom"/>
            <w:hideMark/>
          </w:tcPr>
          <w:p w:rsidR="00F83FC6" w:rsidRPr="00136A11" w:rsidRDefault="00F83FC6" w:rsidP="005D779C">
            <w:pPr>
              <w:spacing w:after="0" w:line="240" w:lineRule="auto"/>
              <w:jc w:val="both"/>
              <w:rPr>
                <w:rFonts w:eastAsia="Times New Roman" w:cs="Calibri"/>
                <w:b/>
                <w:color w:val="000000"/>
                <w:lang w:eastAsia="pt-BR"/>
              </w:rPr>
            </w:pPr>
            <w:r w:rsidRPr="00136A11">
              <w:rPr>
                <w:rFonts w:eastAsia="Times New Roman" w:cs="Calibri"/>
                <w:b/>
                <w:color w:val="000000"/>
                <w:lang w:eastAsia="pt-BR"/>
              </w:rPr>
              <w:t xml:space="preserve">Fonte: Manual Técnico do Orçamento, </w:t>
            </w:r>
            <w:proofErr w:type="gramStart"/>
            <w:r w:rsidRPr="00136A11">
              <w:rPr>
                <w:rFonts w:eastAsia="Times New Roman" w:cs="Calibri"/>
                <w:b/>
                <w:color w:val="000000"/>
                <w:lang w:eastAsia="pt-BR"/>
              </w:rPr>
              <w:t>SOF</w:t>
            </w:r>
            <w:proofErr w:type="gramEnd"/>
          </w:p>
        </w:tc>
      </w:tr>
    </w:tbl>
    <w:p w:rsidR="002632DD" w:rsidRPr="00136A11" w:rsidRDefault="002632DD" w:rsidP="005D779C">
      <w:pPr>
        <w:spacing w:after="0" w:line="240" w:lineRule="auto"/>
        <w:ind w:firstLine="1418"/>
        <w:jc w:val="both"/>
        <w:rPr>
          <w:b/>
        </w:rPr>
      </w:pPr>
    </w:p>
    <w:p w:rsidR="00E00475" w:rsidRPr="00136A11" w:rsidRDefault="00E00475" w:rsidP="005D779C">
      <w:pPr>
        <w:pStyle w:val="PargrafodaLista"/>
        <w:numPr>
          <w:ilvl w:val="1"/>
          <w:numId w:val="9"/>
        </w:numPr>
        <w:spacing w:after="0" w:line="240" w:lineRule="auto"/>
        <w:ind w:left="0" w:firstLine="1418"/>
        <w:jc w:val="both"/>
        <w:rPr>
          <w:b/>
        </w:rPr>
      </w:pPr>
      <w:r w:rsidRPr="00136A11">
        <w:rPr>
          <w:b/>
        </w:rPr>
        <w:t>Classificação por fontes de recursos</w:t>
      </w:r>
    </w:p>
    <w:p w:rsidR="00E00475" w:rsidRPr="00136A11" w:rsidRDefault="00E00475" w:rsidP="005D779C">
      <w:pPr>
        <w:spacing w:after="0" w:line="240" w:lineRule="auto"/>
        <w:ind w:firstLine="1418"/>
        <w:jc w:val="both"/>
      </w:pPr>
      <w:r w:rsidRPr="00136A11">
        <w:t>A classificação por fonte de recursos é utilizada para indicar a espécie de recursos que está financiando a despesa.</w:t>
      </w:r>
    </w:p>
    <w:p w:rsidR="00BD64B6" w:rsidRPr="00136A11" w:rsidRDefault="00557695" w:rsidP="005D779C">
      <w:pPr>
        <w:spacing w:after="0" w:line="240" w:lineRule="auto"/>
        <w:ind w:firstLine="1418"/>
        <w:jc w:val="both"/>
      </w:pPr>
      <w:r w:rsidRPr="00136A11">
        <w:t>Os grupos de fontes de recursos são:</w:t>
      </w:r>
    </w:p>
    <w:p w:rsidR="00557695" w:rsidRPr="00136A11" w:rsidRDefault="00557695" w:rsidP="005D779C">
      <w:pPr>
        <w:pStyle w:val="PargrafodaLista"/>
        <w:numPr>
          <w:ilvl w:val="0"/>
          <w:numId w:val="6"/>
        </w:numPr>
        <w:spacing w:after="0" w:line="240" w:lineRule="auto"/>
        <w:ind w:left="0" w:firstLine="1418"/>
        <w:jc w:val="both"/>
      </w:pPr>
      <w:r w:rsidRPr="00136A11">
        <w:t>Recursos do Tesouro – Exercício Corrente</w:t>
      </w:r>
    </w:p>
    <w:p w:rsidR="00557695" w:rsidRPr="00136A11" w:rsidRDefault="00557695" w:rsidP="005D779C">
      <w:pPr>
        <w:pStyle w:val="PargrafodaLista"/>
        <w:numPr>
          <w:ilvl w:val="0"/>
          <w:numId w:val="6"/>
        </w:numPr>
        <w:spacing w:after="0" w:line="240" w:lineRule="auto"/>
        <w:ind w:left="0" w:firstLine="1418"/>
        <w:jc w:val="both"/>
      </w:pPr>
      <w:r w:rsidRPr="00136A11">
        <w:t>Recursos de Outras Fontes – Exercício Corrente</w:t>
      </w:r>
    </w:p>
    <w:p w:rsidR="00557695" w:rsidRPr="00136A11" w:rsidRDefault="00557695" w:rsidP="005D779C">
      <w:pPr>
        <w:pStyle w:val="PargrafodaLista"/>
        <w:numPr>
          <w:ilvl w:val="0"/>
          <w:numId w:val="6"/>
        </w:numPr>
        <w:spacing w:after="0" w:line="240" w:lineRule="auto"/>
        <w:ind w:left="0" w:firstLine="1418"/>
        <w:jc w:val="both"/>
      </w:pPr>
      <w:r w:rsidRPr="00136A11">
        <w:t>Recursos do Tesouro – Exercícios Anteriores</w:t>
      </w:r>
    </w:p>
    <w:p w:rsidR="00557695" w:rsidRPr="00136A11" w:rsidRDefault="005D779C" w:rsidP="005D779C">
      <w:pPr>
        <w:pStyle w:val="PargrafodaLista"/>
        <w:spacing w:after="0" w:line="240" w:lineRule="auto"/>
        <w:ind w:left="0" w:firstLine="1418"/>
        <w:jc w:val="both"/>
      </w:pPr>
      <w:r>
        <w:t xml:space="preserve">6- </w:t>
      </w:r>
      <w:r>
        <w:tab/>
      </w:r>
      <w:r w:rsidR="00557695" w:rsidRPr="00136A11">
        <w:t>Recursos de Outras Fontes – Exercícios Anteriores</w:t>
      </w:r>
    </w:p>
    <w:p w:rsidR="00557695" w:rsidRPr="00136A11" w:rsidRDefault="005D779C" w:rsidP="005D779C">
      <w:pPr>
        <w:pStyle w:val="PargrafodaLista"/>
        <w:spacing w:after="0" w:line="240" w:lineRule="auto"/>
        <w:ind w:left="0" w:firstLine="1418"/>
        <w:jc w:val="both"/>
      </w:pPr>
      <w:r>
        <w:t xml:space="preserve">9- </w:t>
      </w:r>
      <w:r>
        <w:tab/>
      </w:r>
      <w:r w:rsidR="00557695" w:rsidRPr="00136A11">
        <w:t>Recursos Condicionados</w:t>
      </w:r>
    </w:p>
    <w:p w:rsidR="005D779C" w:rsidRPr="00136A11" w:rsidRDefault="005D779C" w:rsidP="005D779C">
      <w:pPr>
        <w:spacing w:after="0" w:line="240" w:lineRule="auto"/>
        <w:ind w:firstLine="1418"/>
        <w:jc w:val="both"/>
      </w:pPr>
    </w:p>
    <w:p w:rsidR="00590B1C" w:rsidRPr="00136A11" w:rsidRDefault="00835DB1" w:rsidP="005D779C">
      <w:pPr>
        <w:pStyle w:val="PargrafodaLista"/>
        <w:numPr>
          <w:ilvl w:val="1"/>
          <w:numId w:val="9"/>
        </w:numPr>
        <w:spacing w:after="0" w:line="240" w:lineRule="auto"/>
        <w:ind w:left="0" w:firstLine="1418"/>
        <w:jc w:val="both"/>
        <w:rPr>
          <w:b/>
        </w:rPr>
      </w:pPr>
      <w:r w:rsidRPr="00136A11">
        <w:rPr>
          <w:b/>
        </w:rPr>
        <w:t>Identificador de Doação e de Operação de Crédito (IDOC)</w:t>
      </w:r>
    </w:p>
    <w:p w:rsidR="00835DB1" w:rsidRPr="00136A11" w:rsidRDefault="00835DB1" w:rsidP="005D779C">
      <w:pPr>
        <w:spacing w:after="0" w:line="240" w:lineRule="auto"/>
        <w:ind w:firstLine="1418"/>
        <w:jc w:val="both"/>
      </w:pPr>
      <w:r w:rsidRPr="00136A11">
        <w:t xml:space="preserve">O IDOC visa identificar a operação de crédito contratual a que se refere </w:t>
      </w:r>
      <w:r w:rsidR="005D779C">
        <w:t>à</w:t>
      </w:r>
      <w:r w:rsidRPr="00136A11">
        <w:t xml:space="preserve"> ação, quando é financiada por meio de empréstimos de recursos com ou sem contrapartida de recursos da União.</w:t>
      </w:r>
    </w:p>
    <w:p w:rsidR="00D41989" w:rsidRPr="00136A11" w:rsidRDefault="00D41989" w:rsidP="005D779C">
      <w:pPr>
        <w:spacing w:after="0" w:line="240" w:lineRule="auto"/>
        <w:ind w:firstLine="1418"/>
        <w:jc w:val="both"/>
      </w:pPr>
    </w:p>
    <w:p w:rsidR="00590B1C" w:rsidRPr="00136A11" w:rsidRDefault="00590B1C" w:rsidP="005D779C">
      <w:pPr>
        <w:pStyle w:val="PargrafodaLista"/>
        <w:numPr>
          <w:ilvl w:val="1"/>
          <w:numId w:val="9"/>
        </w:numPr>
        <w:spacing w:after="0" w:line="240" w:lineRule="auto"/>
        <w:ind w:left="0" w:firstLine="1418"/>
        <w:jc w:val="both"/>
        <w:rPr>
          <w:b/>
        </w:rPr>
      </w:pPr>
      <w:r w:rsidRPr="00136A11">
        <w:rPr>
          <w:b/>
        </w:rPr>
        <w:t>Identificador de Resultado Primário</w:t>
      </w:r>
    </w:p>
    <w:p w:rsidR="00590B1C" w:rsidRPr="00136A11" w:rsidRDefault="00590B1C" w:rsidP="005D779C">
      <w:pPr>
        <w:spacing w:after="0" w:line="240" w:lineRule="auto"/>
        <w:ind w:firstLine="1418"/>
        <w:jc w:val="both"/>
      </w:pPr>
      <w:r w:rsidRPr="00136A11">
        <w:t xml:space="preserve">O </w:t>
      </w:r>
      <w:r w:rsidR="002632DD" w:rsidRPr="00136A11">
        <w:t xml:space="preserve">classificador </w:t>
      </w:r>
      <w:r w:rsidRPr="00136A11">
        <w:t>tem por finalidade auxiliar a apuração do resultado primário</w:t>
      </w:r>
      <w:r w:rsidR="002632DD" w:rsidRPr="00136A11">
        <w:rPr>
          <w:rStyle w:val="Refdenotaderodap"/>
        </w:rPr>
        <w:footnoteReference w:id="4"/>
      </w:r>
      <w:r w:rsidRPr="00136A11">
        <w:t>. Desta forma, indica se a despesa é de natureza primária ou financeira</w:t>
      </w:r>
      <w:r w:rsidR="00BB2EAB" w:rsidRPr="00136A11">
        <w:t>.</w:t>
      </w:r>
    </w:p>
    <w:p w:rsidR="005D779C" w:rsidRDefault="005D779C" w:rsidP="005D779C">
      <w:pPr>
        <w:pStyle w:val="PargrafodaLista"/>
        <w:spacing w:after="0" w:line="240" w:lineRule="auto"/>
        <w:ind w:left="0" w:firstLine="1418"/>
        <w:jc w:val="both"/>
      </w:pPr>
    </w:p>
    <w:p w:rsidR="00A86E80" w:rsidRDefault="00A86E80" w:rsidP="005D779C">
      <w:pPr>
        <w:pStyle w:val="PargrafodaLista"/>
        <w:spacing w:after="0" w:line="240" w:lineRule="auto"/>
        <w:ind w:left="0" w:firstLine="1418"/>
        <w:jc w:val="both"/>
      </w:pPr>
    </w:p>
    <w:p w:rsidR="00A86E80" w:rsidRDefault="00A86E80" w:rsidP="005D779C">
      <w:pPr>
        <w:pStyle w:val="PargrafodaLista"/>
        <w:spacing w:after="0" w:line="240" w:lineRule="auto"/>
        <w:ind w:left="0" w:firstLine="1418"/>
        <w:jc w:val="both"/>
      </w:pPr>
    </w:p>
    <w:p w:rsidR="00590B1C" w:rsidRPr="00136A11" w:rsidRDefault="009D06B2" w:rsidP="005D779C">
      <w:pPr>
        <w:pStyle w:val="PargrafodaLista"/>
        <w:spacing w:after="0" w:line="240" w:lineRule="auto"/>
        <w:ind w:left="0" w:firstLine="1418"/>
        <w:jc w:val="both"/>
      </w:pPr>
      <w:r w:rsidRPr="00136A11">
        <w:t>Os códigos do identificador de resultado primários</w:t>
      </w:r>
      <w:r w:rsidR="000A6624" w:rsidRPr="00136A11">
        <w:t xml:space="preserve"> são:</w:t>
      </w:r>
      <w:r w:rsidRPr="00136A11">
        <w:t xml:space="preserve"> </w:t>
      </w:r>
    </w:p>
    <w:p w:rsidR="00590B1C" w:rsidRPr="00136A11" w:rsidRDefault="00590B1C" w:rsidP="005D779C">
      <w:pPr>
        <w:pStyle w:val="PargrafodaLista"/>
        <w:spacing w:after="0" w:line="240" w:lineRule="auto"/>
        <w:ind w:left="0" w:firstLine="1418"/>
        <w:jc w:val="both"/>
      </w:pPr>
      <w:r w:rsidRPr="00136A11">
        <w:t>0 – Financeira</w:t>
      </w:r>
    </w:p>
    <w:p w:rsidR="00590B1C" w:rsidRPr="00136A11" w:rsidRDefault="00590B1C" w:rsidP="005D779C">
      <w:pPr>
        <w:pStyle w:val="PargrafodaLista"/>
        <w:numPr>
          <w:ilvl w:val="0"/>
          <w:numId w:val="7"/>
        </w:numPr>
        <w:spacing w:after="0" w:line="240" w:lineRule="auto"/>
        <w:ind w:left="0" w:firstLine="1418"/>
        <w:jc w:val="both"/>
      </w:pPr>
      <w:r w:rsidRPr="00136A11">
        <w:t>Primária Obrigatória</w:t>
      </w:r>
    </w:p>
    <w:p w:rsidR="00590B1C" w:rsidRPr="00136A11" w:rsidRDefault="00590B1C" w:rsidP="005D779C">
      <w:pPr>
        <w:pStyle w:val="PargrafodaLista"/>
        <w:numPr>
          <w:ilvl w:val="0"/>
          <w:numId w:val="7"/>
        </w:numPr>
        <w:spacing w:after="0" w:line="240" w:lineRule="auto"/>
        <w:ind w:left="0" w:firstLine="1418"/>
        <w:jc w:val="both"/>
      </w:pPr>
      <w:r w:rsidRPr="00136A11">
        <w:t>Primária Discricionária</w:t>
      </w:r>
    </w:p>
    <w:p w:rsidR="00590B1C" w:rsidRDefault="00590B1C" w:rsidP="005D779C">
      <w:pPr>
        <w:pStyle w:val="PargrafodaLista"/>
        <w:numPr>
          <w:ilvl w:val="0"/>
          <w:numId w:val="7"/>
        </w:numPr>
        <w:spacing w:after="0" w:line="240" w:lineRule="auto"/>
        <w:ind w:left="0" w:firstLine="1418"/>
        <w:jc w:val="both"/>
      </w:pPr>
      <w:r w:rsidRPr="00136A11">
        <w:t>Primária Discricionária relativa ao Progra</w:t>
      </w:r>
      <w:r w:rsidR="005D779C">
        <w:t xml:space="preserve">ma de Aceleração Econômica </w:t>
      </w:r>
      <w:r w:rsidRPr="00136A11">
        <w:t>(PAC)</w:t>
      </w:r>
    </w:p>
    <w:p w:rsidR="00D33C34" w:rsidRDefault="00D33C34" w:rsidP="00D33C34">
      <w:pPr>
        <w:spacing w:after="0" w:line="240" w:lineRule="auto"/>
        <w:jc w:val="both"/>
      </w:pPr>
    </w:p>
    <w:p w:rsidR="00D33C34" w:rsidRPr="00136A11" w:rsidRDefault="00D33C34" w:rsidP="00D33C34">
      <w:pPr>
        <w:spacing w:after="0" w:line="240" w:lineRule="auto"/>
        <w:jc w:val="both"/>
      </w:pPr>
    </w:p>
    <w:p w:rsidR="00590B1C" w:rsidRPr="00136A11" w:rsidRDefault="00590B1C" w:rsidP="005D779C">
      <w:pPr>
        <w:pStyle w:val="PargrafodaLista"/>
        <w:numPr>
          <w:ilvl w:val="0"/>
          <w:numId w:val="7"/>
        </w:numPr>
        <w:spacing w:after="0" w:line="240" w:lineRule="auto"/>
        <w:ind w:left="0" w:firstLine="1418"/>
        <w:jc w:val="both"/>
      </w:pPr>
      <w:r w:rsidRPr="00136A11">
        <w:t>Despesas constantes do Orçamento de Investimento das Empresas Estatais que não impactam o resultado primário</w:t>
      </w:r>
    </w:p>
    <w:p w:rsidR="00557695" w:rsidRPr="00136A11" w:rsidRDefault="00F7097D" w:rsidP="005D779C">
      <w:pPr>
        <w:spacing w:after="0" w:line="240" w:lineRule="auto"/>
        <w:ind w:firstLine="1418"/>
        <w:jc w:val="both"/>
      </w:pPr>
      <w:r w:rsidRPr="00136A11">
        <w:t>As despesas discricionárias são aquelas que o governo tem poder de deliberação, de tal maneira que pode ou não executá-las de acordo com a previsão de receita.</w:t>
      </w:r>
      <w:r w:rsidR="00861F3B" w:rsidRPr="00136A11">
        <w:t xml:space="preserve"> Por sua vez, a previsão das despesas discricionárias consta apenas na lei orçamentária, já que não há outro dispositivo legal que a estabeleça.</w:t>
      </w:r>
    </w:p>
    <w:p w:rsidR="00861F3B" w:rsidRPr="00136A11" w:rsidRDefault="00861F3B" w:rsidP="005D779C">
      <w:pPr>
        <w:spacing w:after="0" w:line="240" w:lineRule="auto"/>
        <w:ind w:firstLine="1418"/>
        <w:jc w:val="both"/>
      </w:pPr>
      <w:r w:rsidRPr="00136A11">
        <w:t xml:space="preserve">As despesas obrigatórias se referem </w:t>
      </w:r>
      <w:r w:rsidR="005D779C">
        <w:t>à</w:t>
      </w:r>
      <w:r w:rsidRPr="00136A11">
        <w:t>quelas definidas constitucionalmente ou por outra legislação infraconstitucional.</w:t>
      </w:r>
      <w:r w:rsidR="00CC40F0" w:rsidRPr="00136A11">
        <w:t xml:space="preserve"> Dentre estas despesas</w:t>
      </w:r>
      <w:r w:rsidR="009A01C1" w:rsidRPr="00136A11">
        <w:t>,</w:t>
      </w:r>
      <w:r w:rsidR="00CC40F0" w:rsidRPr="00136A11">
        <w:t xml:space="preserve"> </w:t>
      </w:r>
      <w:proofErr w:type="gramStart"/>
      <w:r w:rsidR="00CC40F0" w:rsidRPr="00136A11">
        <w:t>estão</w:t>
      </w:r>
      <w:proofErr w:type="gramEnd"/>
      <w:r w:rsidR="00CC40F0" w:rsidRPr="00136A11">
        <w:t xml:space="preserve"> o pagamento de duração continuada com pessoal e encargos sociais, benefícios da previdência, transferências constitucionais a Estados e municípios, etc.</w:t>
      </w:r>
    </w:p>
    <w:p w:rsidR="00442669" w:rsidRPr="00136A11" w:rsidRDefault="00442669" w:rsidP="005D779C">
      <w:pPr>
        <w:spacing w:after="0" w:line="240" w:lineRule="auto"/>
        <w:ind w:firstLine="1418"/>
        <w:jc w:val="both"/>
      </w:pPr>
      <w:r w:rsidRPr="00136A11">
        <w:t xml:space="preserve">As despesas financeiras </w:t>
      </w:r>
      <w:r w:rsidR="00A463CE" w:rsidRPr="00136A11">
        <w:t>dizem respeito aos gastos relacionados aos serviços da dívida pública (juros, amortizações e encargos) e concessão de empréstimos destinados a incentivar setores ou atividades de interesse nacional. Desta forma, as despesas financeiras não pressionam ou elevam o endividamento líquido do governo, em termos de resultado primário, já que criam para o ente da Federação um direito junto ao setor privado.</w:t>
      </w:r>
    </w:p>
    <w:p w:rsidR="00A463CE" w:rsidRDefault="00A463CE" w:rsidP="005D779C">
      <w:pPr>
        <w:spacing w:after="0" w:line="240" w:lineRule="auto"/>
        <w:ind w:firstLine="1418"/>
        <w:jc w:val="both"/>
      </w:pPr>
    </w:p>
    <w:p w:rsidR="00D41989" w:rsidRDefault="00D41989" w:rsidP="00D41989">
      <w:pPr>
        <w:spacing w:after="0" w:line="240" w:lineRule="auto"/>
        <w:jc w:val="both"/>
      </w:pPr>
    </w:p>
    <w:p w:rsidR="00D41989" w:rsidRPr="00D41989" w:rsidRDefault="00D41989" w:rsidP="00D41989">
      <w:pPr>
        <w:spacing w:after="0" w:line="240" w:lineRule="auto"/>
        <w:jc w:val="both"/>
        <w:rPr>
          <w:b/>
        </w:rPr>
      </w:pPr>
      <w:r w:rsidRPr="00D41989">
        <w:rPr>
          <w:b/>
        </w:rPr>
        <w:t xml:space="preserve">Parte 2 </w:t>
      </w:r>
      <w:r w:rsidR="001A1521">
        <w:rPr>
          <w:b/>
        </w:rPr>
        <w:t>–</w:t>
      </w:r>
      <w:r w:rsidRPr="00D41989">
        <w:rPr>
          <w:b/>
        </w:rPr>
        <w:t xml:space="preserve"> </w:t>
      </w:r>
      <w:r w:rsidR="001A1521">
        <w:rPr>
          <w:b/>
        </w:rPr>
        <w:t>Tabelas Orçamentárias do MCTI</w:t>
      </w:r>
    </w:p>
    <w:p w:rsidR="00D41989" w:rsidRDefault="00D41989" w:rsidP="005D779C">
      <w:pPr>
        <w:spacing w:after="0" w:line="240" w:lineRule="auto"/>
        <w:ind w:firstLine="1418"/>
        <w:jc w:val="both"/>
      </w:pPr>
    </w:p>
    <w:p w:rsidR="001A1521" w:rsidRDefault="00D41989" w:rsidP="005D779C">
      <w:pPr>
        <w:spacing w:after="0" w:line="240" w:lineRule="auto"/>
        <w:ind w:firstLine="1418"/>
        <w:jc w:val="both"/>
      </w:pPr>
      <w:r>
        <w:t xml:space="preserve">Tendo como referência os conceitos e a estrutura do orçamento </w:t>
      </w:r>
      <w:proofErr w:type="gramStart"/>
      <w:r>
        <w:t>federal anteriormente mencionados</w:t>
      </w:r>
      <w:proofErr w:type="gramEnd"/>
      <w:r>
        <w:t>, foram construídas tabelas orçamentárias cujas especificidades são a seguir apresentadas</w:t>
      </w:r>
      <w:r w:rsidR="00A87756">
        <w:t>.</w:t>
      </w:r>
      <w:r>
        <w:t xml:space="preserve"> </w:t>
      </w:r>
      <w:r w:rsidR="001A1521">
        <w:t>Os</w:t>
      </w:r>
      <w:r w:rsidR="00D97A90">
        <w:t xml:space="preserve"> recursos </w:t>
      </w:r>
      <w:r w:rsidR="001A1521">
        <w:t>apresentados nas tabelas orçamentárias compreendem o período dos Planos Plurianuais (</w:t>
      </w:r>
      <w:r w:rsidR="00D97A90">
        <w:t>PPA</w:t>
      </w:r>
      <w:r w:rsidR="001A1521">
        <w:t>)</w:t>
      </w:r>
      <w:r w:rsidR="00D97A90">
        <w:t xml:space="preserve"> 2004-2007 e 2008-2011</w:t>
      </w:r>
      <w:r w:rsidR="001A1521">
        <w:t>.</w:t>
      </w:r>
      <w:r w:rsidR="00D97A90">
        <w:t xml:space="preserve"> </w:t>
      </w:r>
      <w:r w:rsidR="001A1521">
        <w:t xml:space="preserve">O recorte temporal foi escolhido em razão de uma relativa estabilidade na estrutura entre os dois </w:t>
      </w:r>
      <w:proofErr w:type="spellStart"/>
      <w:r w:rsidR="001A1521">
        <w:t>PPA´s</w:t>
      </w:r>
      <w:proofErr w:type="spellEnd"/>
      <w:r w:rsidR="001A1521">
        <w:t xml:space="preserve"> sem significativas mudanças programáticas.</w:t>
      </w:r>
    </w:p>
    <w:p w:rsidR="00495525" w:rsidRDefault="00D97A90" w:rsidP="005D779C">
      <w:pPr>
        <w:spacing w:after="0" w:line="240" w:lineRule="auto"/>
        <w:ind w:firstLine="1418"/>
        <w:jc w:val="both"/>
      </w:pPr>
      <w:r>
        <w:t xml:space="preserve">Importante </w:t>
      </w:r>
      <w:r w:rsidR="001A1521">
        <w:t>informar</w:t>
      </w:r>
      <w:r>
        <w:t xml:space="preserve"> que as tabelas serão atualizadas, inserindo</w:t>
      </w:r>
      <w:r w:rsidR="001A1521">
        <w:t>-se</w:t>
      </w:r>
      <w:r>
        <w:t xml:space="preserve"> o</w:t>
      </w:r>
      <w:r w:rsidR="001A1521">
        <w:t>s dados referentes ao ano</w:t>
      </w:r>
      <w:r>
        <w:t xml:space="preserve"> de 2011 tão logo o exercício financeiro seja encerrado.</w:t>
      </w:r>
    </w:p>
    <w:p w:rsidR="00815BCC" w:rsidRDefault="00815BCC" w:rsidP="005D779C">
      <w:pPr>
        <w:spacing w:after="0" w:line="240" w:lineRule="auto"/>
        <w:ind w:firstLine="1418"/>
        <w:jc w:val="both"/>
      </w:pPr>
    </w:p>
    <w:p w:rsidR="00815BCC" w:rsidRPr="00815BCC" w:rsidRDefault="00815BCC" w:rsidP="005D779C">
      <w:pPr>
        <w:spacing w:after="0" w:line="240" w:lineRule="auto"/>
        <w:ind w:firstLine="1418"/>
        <w:jc w:val="both"/>
        <w:rPr>
          <w:b/>
          <w:u w:val="single"/>
        </w:rPr>
      </w:pPr>
      <w:r w:rsidRPr="00815BCC">
        <w:rPr>
          <w:b/>
          <w:u w:val="single"/>
        </w:rPr>
        <w:t>Dados Consolidados</w:t>
      </w:r>
    </w:p>
    <w:p w:rsidR="00D41989" w:rsidRPr="00D41989" w:rsidRDefault="00D41989" w:rsidP="00D41989">
      <w:pPr>
        <w:spacing w:after="0" w:line="240" w:lineRule="auto"/>
        <w:ind w:firstLine="1418"/>
        <w:jc w:val="both"/>
      </w:pPr>
    </w:p>
    <w:p w:rsidR="00A87756" w:rsidRPr="00A87756" w:rsidRDefault="00815BCC" w:rsidP="00A87756">
      <w:pPr>
        <w:spacing w:after="0" w:line="240" w:lineRule="auto"/>
        <w:jc w:val="both"/>
        <w:rPr>
          <w:b/>
        </w:rPr>
      </w:pPr>
      <w:r>
        <w:rPr>
          <w:b/>
        </w:rPr>
        <w:t>Tabela</w:t>
      </w:r>
      <w:r w:rsidR="00A87756" w:rsidRPr="00A87756">
        <w:rPr>
          <w:b/>
        </w:rPr>
        <w:t xml:space="preserve">. Evolução do orçamento anual do Ministério da Ciência, Tecnologia e Inovação, segundo itens selecionados, no período de 2004 a </w:t>
      </w:r>
      <w:proofErr w:type="gramStart"/>
      <w:r w:rsidR="00A87756" w:rsidRPr="00A87756">
        <w:rPr>
          <w:b/>
        </w:rPr>
        <w:t>201</w:t>
      </w:r>
      <w:r>
        <w:rPr>
          <w:b/>
        </w:rPr>
        <w:t>1</w:t>
      </w:r>
      <w:proofErr w:type="gramEnd"/>
    </w:p>
    <w:p w:rsidR="00A87756" w:rsidRDefault="00A87756" w:rsidP="00A87756">
      <w:pPr>
        <w:spacing w:after="0" w:line="240" w:lineRule="auto"/>
        <w:jc w:val="both"/>
      </w:pPr>
    </w:p>
    <w:p w:rsidR="00071CAC" w:rsidRPr="00815BCC" w:rsidRDefault="00071CAC" w:rsidP="00071CAC">
      <w:pPr>
        <w:spacing w:line="240" w:lineRule="auto"/>
        <w:ind w:firstLine="1416"/>
        <w:jc w:val="both"/>
      </w:pPr>
      <w:r w:rsidRPr="00815BCC">
        <w:t>Esta tabela agrega itens do orçamento do MCTI mais significativos em termos de recursos e ao mesmo tempo mescla diferentes conceitos como Unidade Orçamentária (CNPq e FNDCT), Grupo Natureza de Despesa (Pessoal e Dívida) e Programas (Nuclear e Espacial).</w:t>
      </w:r>
    </w:p>
    <w:p w:rsidR="00071CAC" w:rsidRDefault="00071CAC" w:rsidP="00A87756">
      <w:pPr>
        <w:spacing w:after="0" w:line="240" w:lineRule="auto"/>
        <w:jc w:val="both"/>
      </w:pPr>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A86E80" w:rsidRDefault="00A86E80" w:rsidP="00D41989">
      <w:pPr>
        <w:numPr>
          <w:ilvl w:val="0"/>
          <w:numId w:val="11"/>
        </w:numPr>
        <w:spacing w:line="240" w:lineRule="auto"/>
        <w:jc w:val="both"/>
      </w:pPr>
    </w:p>
    <w:p w:rsidR="00A86E80" w:rsidRDefault="00A86E80" w:rsidP="00A86E80">
      <w:pPr>
        <w:spacing w:line="240" w:lineRule="auto"/>
        <w:ind w:left="753"/>
        <w:jc w:val="both"/>
      </w:pPr>
    </w:p>
    <w:p w:rsidR="00D41989" w:rsidRP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D41989" w:rsidRDefault="00D41989" w:rsidP="00D41989">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F65528" w:rsidRDefault="00F65528" w:rsidP="00F65528">
      <w:pPr>
        <w:spacing w:line="240" w:lineRule="auto"/>
        <w:ind w:left="753"/>
        <w:jc w:val="both"/>
      </w:pP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xml:space="preserve">: despesas que no momento da inscrição não estavam liquidadas; </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w:t>
      </w:r>
      <w:r w:rsidR="00A87756">
        <w:t>inscritos ao final do exercício.</w:t>
      </w:r>
    </w:p>
    <w:p w:rsidR="001F4B40" w:rsidRDefault="001F4B40" w:rsidP="001F4B40">
      <w:pPr>
        <w:spacing w:line="240" w:lineRule="auto"/>
        <w:jc w:val="both"/>
      </w:pPr>
    </w:p>
    <w:p w:rsidR="001F4B40" w:rsidRPr="00A86E80" w:rsidRDefault="00A34C9A" w:rsidP="001F4B40">
      <w:pPr>
        <w:spacing w:after="0" w:line="240" w:lineRule="auto"/>
        <w:jc w:val="both"/>
        <w:rPr>
          <w:b/>
        </w:rPr>
      </w:pPr>
      <w:r w:rsidRPr="00A86E80">
        <w:rPr>
          <w:b/>
        </w:rPr>
        <w:t xml:space="preserve">Tabela - </w:t>
      </w:r>
      <w:r w:rsidR="001F4B40" w:rsidRPr="00A86E80">
        <w:rPr>
          <w:b/>
        </w:rPr>
        <w:t>Participação percentual do MCTI em relação ao total das despesas discricionárias do Poder Executivo e em relação ao total das despesas discricionárias dos Ministérios ligados à infraestrutura: 1995-2011</w:t>
      </w:r>
    </w:p>
    <w:p w:rsidR="00A34C9A" w:rsidRPr="00A86E80" w:rsidRDefault="00A34C9A" w:rsidP="001F4B40">
      <w:pPr>
        <w:spacing w:after="0" w:line="240" w:lineRule="auto"/>
        <w:jc w:val="both"/>
        <w:rPr>
          <w:b/>
        </w:rPr>
      </w:pPr>
    </w:p>
    <w:p w:rsidR="000423EC" w:rsidRPr="00A86E80" w:rsidRDefault="00A34C9A" w:rsidP="00A86E80">
      <w:pPr>
        <w:spacing w:after="0" w:line="240" w:lineRule="auto"/>
        <w:ind w:firstLine="1418"/>
        <w:jc w:val="both"/>
      </w:pPr>
      <w:r w:rsidRPr="00A86E80">
        <w:t xml:space="preserve">A tabela se refere </w:t>
      </w:r>
      <w:proofErr w:type="gramStart"/>
      <w:r w:rsidRPr="00A86E80">
        <w:t>a</w:t>
      </w:r>
      <w:proofErr w:type="gramEnd"/>
      <w:r w:rsidRPr="00A86E80">
        <w:t xml:space="preserve"> participação dos recursos </w:t>
      </w:r>
      <w:proofErr w:type="spellStart"/>
      <w:r w:rsidRPr="00A86E80">
        <w:t>extra-Fundos</w:t>
      </w:r>
      <w:proofErr w:type="spellEnd"/>
      <w:r w:rsidRPr="00A86E80">
        <w:t xml:space="preserve">, Fundos Setoriais e do MCTI em relação ao total de </w:t>
      </w:r>
      <w:r w:rsidR="00C50818" w:rsidRPr="00A86E80">
        <w:t>despesas</w:t>
      </w:r>
      <w:r w:rsidRPr="00A86E80">
        <w:t xml:space="preserve"> discricionári</w:t>
      </w:r>
      <w:r w:rsidR="00C50818" w:rsidRPr="00A86E80">
        <w:t>a</w:t>
      </w:r>
      <w:r w:rsidRPr="00A86E80">
        <w:t>s</w:t>
      </w:r>
      <w:r w:rsidR="000423EC" w:rsidRPr="00A86E80">
        <w:t xml:space="preserve"> e em relação aos Ministérios ligados à infraestrutura</w:t>
      </w:r>
      <w:r w:rsidRPr="00A86E80">
        <w:t>.</w:t>
      </w:r>
      <w:r w:rsidR="000423EC" w:rsidRPr="00A86E80">
        <w:t xml:space="preserve"> Entre os Ministérios ligados à infraestrutura, estão incluídos: Transportes, Cidades, Integração Nacional, Minas e Energia, Meio-Ambiente e Comunicações.</w:t>
      </w:r>
    </w:p>
    <w:p w:rsidR="00A34C9A" w:rsidRDefault="00A34C9A" w:rsidP="00A86E80">
      <w:pPr>
        <w:spacing w:after="0" w:line="240" w:lineRule="auto"/>
        <w:ind w:firstLine="1418"/>
        <w:jc w:val="both"/>
      </w:pPr>
      <w:r w:rsidRPr="00A86E80">
        <w:t>A</w:t>
      </w:r>
      <w:r w:rsidRPr="00A34C9A">
        <w:t>s despesas discricionárias são aquelas que o governo dispõe de poder de deliberação, o que exclui da análise, por exemplo, as despesas com pessoal, as quais são obrigações constitucionais e legais.</w:t>
      </w:r>
    </w:p>
    <w:p w:rsidR="00A34C9A" w:rsidRPr="00A86E80" w:rsidRDefault="00A34C9A" w:rsidP="00A86E80">
      <w:pPr>
        <w:spacing w:after="0" w:line="240" w:lineRule="auto"/>
        <w:ind w:firstLine="1418"/>
        <w:jc w:val="both"/>
      </w:pPr>
      <w:r w:rsidRPr="00A86E80">
        <w:t xml:space="preserve">A </w:t>
      </w:r>
      <w:r w:rsidR="00C50818" w:rsidRPr="00A86E80">
        <w:t xml:space="preserve">tabela foi construída por meio de um </w:t>
      </w:r>
      <w:r w:rsidRPr="00A86E80">
        <w:t xml:space="preserve">recorte dos recursos totais discricionários do </w:t>
      </w:r>
      <w:r w:rsidR="00C50818" w:rsidRPr="00A86E80">
        <w:t>MCTI</w:t>
      </w:r>
      <w:r w:rsidRPr="00A86E80">
        <w:t xml:space="preserve"> entre aqueles associados aos Fundos Setoriais e demais recursos orçamentários. Em relação aos recursos dos Fundos Setoriais utilizados na análise, </w:t>
      </w:r>
      <w:proofErr w:type="gramStart"/>
      <w:r w:rsidRPr="00A86E80">
        <w:t>inclui-se</w:t>
      </w:r>
      <w:proofErr w:type="gramEnd"/>
      <w:r w:rsidRPr="00A86E80">
        <w:t xml:space="preserve"> as ações de fomento, a ação transversal e as subvenções. Ademais, exclui-se a ação de fomento de Financiamento de Projetos de Desenvolvimento Tecnológico de Empresas (FPDTE), a qual constitui uma despesa financeira. Por sua vez, o volume de recursos destinados às ações ordinárias do Fundo Setorial foi incluído no montante dos demais recursos orçamentários, já que se constitui fonte de recursos ordinários.</w:t>
      </w:r>
    </w:p>
    <w:p w:rsidR="00A34C9A" w:rsidRPr="00A86E80" w:rsidRDefault="00A34C9A" w:rsidP="00A86E80">
      <w:pPr>
        <w:spacing w:after="0" w:line="240" w:lineRule="auto"/>
        <w:ind w:firstLine="1418"/>
        <w:jc w:val="both"/>
      </w:pPr>
      <w:r w:rsidRPr="00A86E80">
        <w:lastRenderedPageBreak/>
        <w:t xml:space="preserve">O total de recursos </w:t>
      </w:r>
      <w:proofErr w:type="spellStart"/>
      <w:r w:rsidRPr="00A86E80">
        <w:t>extra-Fundos</w:t>
      </w:r>
      <w:proofErr w:type="spellEnd"/>
      <w:r w:rsidRPr="00A86E80">
        <w:t xml:space="preserve"> Setoriais foi obtido pela diferença entre os recursos discricionários do MCTI e a parcela dos Fundos Setoriais considerada na análise.</w:t>
      </w:r>
    </w:p>
    <w:p w:rsidR="00A34C9A" w:rsidRPr="00A34C9A" w:rsidRDefault="00A34C9A" w:rsidP="001F4B40">
      <w:pPr>
        <w:spacing w:after="0" w:line="240" w:lineRule="auto"/>
        <w:jc w:val="both"/>
        <w:rPr>
          <w:sz w:val="23"/>
          <w:szCs w:val="23"/>
        </w:rPr>
      </w:pPr>
    </w:p>
    <w:p w:rsidR="001F4B40" w:rsidRPr="00486CBF" w:rsidRDefault="001F4B40" w:rsidP="00486CBF">
      <w:pPr>
        <w:spacing w:after="0" w:line="240" w:lineRule="auto"/>
        <w:ind w:firstLine="1418"/>
        <w:jc w:val="both"/>
      </w:pPr>
    </w:p>
    <w:p w:rsidR="00815BCC" w:rsidRPr="00486CBF" w:rsidRDefault="00815BCC" w:rsidP="00486CBF">
      <w:pPr>
        <w:spacing w:after="0" w:line="240" w:lineRule="auto"/>
        <w:ind w:firstLine="1418"/>
        <w:jc w:val="both"/>
        <w:rPr>
          <w:b/>
          <w:u w:val="single"/>
        </w:rPr>
      </w:pPr>
      <w:r w:rsidRPr="00486CBF">
        <w:rPr>
          <w:b/>
          <w:u w:val="single"/>
        </w:rPr>
        <w:t>Despesas</w:t>
      </w:r>
    </w:p>
    <w:p w:rsidR="00815BCC" w:rsidRPr="00486CBF" w:rsidRDefault="00815BCC" w:rsidP="00486CBF">
      <w:pPr>
        <w:spacing w:after="0" w:line="240" w:lineRule="auto"/>
        <w:ind w:firstLine="1418"/>
        <w:jc w:val="both"/>
      </w:pPr>
    </w:p>
    <w:p w:rsidR="00A87756" w:rsidRDefault="00815BCC" w:rsidP="00A87756">
      <w:pPr>
        <w:spacing w:line="240" w:lineRule="auto"/>
        <w:jc w:val="both"/>
        <w:rPr>
          <w:b/>
        </w:rPr>
      </w:pPr>
      <w:r>
        <w:rPr>
          <w:b/>
        </w:rPr>
        <w:t>Tabela</w:t>
      </w:r>
      <w:r w:rsidR="00A87756" w:rsidRPr="00A87756">
        <w:rPr>
          <w:b/>
        </w:rPr>
        <w:t>. Evolução do orçamento anual do Ministério da Ciência, Tecnologia e Inovação, segundo programas do Plano Plurianual (PP</w:t>
      </w:r>
      <w:r>
        <w:rPr>
          <w:b/>
        </w:rPr>
        <w:t>A), entre os anos de 2004 a 2011</w:t>
      </w:r>
      <w:r w:rsidR="00A87756">
        <w:rPr>
          <w:b/>
        </w:rPr>
        <w:t>.</w:t>
      </w:r>
    </w:p>
    <w:p w:rsidR="00D41989" w:rsidRPr="00D41989" w:rsidRDefault="00D41989" w:rsidP="00A87756">
      <w:pPr>
        <w:spacing w:line="240" w:lineRule="auto"/>
        <w:ind w:left="708" w:firstLine="708"/>
        <w:jc w:val="both"/>
      </w:pPr>
      <w:r w:rsidRPr="00D41989">
        <w:t>No âmbito do PPA 2004-2007, os Programas são classificados em:</w:t>
      </w:r>
    </w:p>
    <w:p w:rsidR="00D41989" w:rsidRPr="00D41989" w:rsidRDefault="00D41989" w:rsidP="00D41989">
      <w:pPr>
        <w:numPr>
          <w:ilvl w:val="0"/>
          <w:numId w:val="13"/>
        </w:numPr>
        <w:spacing w:line="240" w:lineRule="auto"/>
        <w:jc w:val="both"/>
      </w:pPr>
      <w:r w:rsidRPr="00D41989">
        <w:rPr>
          <w:b/>
        </w:rPr>
        <w:t>Programa Finalístico</w:t>
      </w:r>
      <w:r w:rsidRPr="00D41989">
        <w:t xml:space="preserve"> – programa do qual resultam bens ou serviços ofertados diretamente à sociedade;</w:t>
      </w:r>
    </w:p>
    <w:p w:rsidR="00D41989" w:rsidRPr="00D41989" w:rsidRDefault="00D41989" w:rsidP="00D41989">
      <w:pPr>
        <w:numPr>
          <w:ilvl w:val="0"/>
          <w:numId w:val="13"/>
        </w:numPr>
        <w:spacing w:line="240" w:lineRule="auto"/>
        <w:jc w:val="both"/>
      </w:pPr>
      <w:r w:rsidRPr="00D41989">
        <w:rPr>
          <w:b/>
        </w:rPr>
        <w:t>Programa de Serviços ao Estado</w:t>
      </w:r>
      <w:r w:rsidRPr="00D41989">
        <w:t xml:space="preserve"> – programa do qual resultam bens ou serviços ofertados diretamente ao Estado, por instituições criadas para este fim específico;</w:t>
      </w:r>
    </w:p>
    <w:p w:rsidR="00D41989" w:rsidRPr="00D41989" w:rsidRDefault="00D41989" w:rsidP="00D41989">
      <w:pPr>
        <w:numPr>
          <w:ilvl w:val="0"/>
          <w:numId w:val="13"/>
        </w:numPr>
        <w:spacing w:line="240" w:lineRule="auto"/>
        <w:jc w:val="both"/>
      </w:pPr>
      <w:r w:rsidRPr="00D41989">
        <w:rPr>
          <w:b/>
        </w:rPr>
        <w:t>Programa de Gestão de Políticas Públicas</w:t>
      </w:r>
      <w:r w:rsidRPr="00D41989">
        <w:t xml:space="preserve"> – programa destinado ao planejamento e à formulação de políticas setoriais, à coordenação, à avaliação e ao controle dos demais programas sob a responsabilidade de determinado órgão. Há um programa de gestão de políticas públicas em cada órgão;</w:t>
      </w:r>
    </w:p>
    <w:p w:rsidR="00D41989" w:rsidRPr="00D41989" w:rsidRDefault="00D41989" w:rsidP="00D41989">
      <w:pPr>
        <w:numPr>
          <w:ilvl w:val="0"/>
          <w:numId w:val="13"/>
        </w:numPr>
        <w:spacing w:line="240" w:lineRule="auto"/>
        <w:jc w:val="both"/>
      </w:pPr>
      <w:r w:rsidRPr="00D41989">
        <w:rPr>
          <w:b/>
        </w:rPr>
        <w:t>Programa de Apoio Administrativo</w:t>
      </w:r>
      <w:r w:rsidRPr="00D41989">
        <w:t xml:space="preserve"> – programa que contempla as despesas de natureza tipicamente administrativa, as quais, embora contribuam para a consecução dos objetivos dos outros programas, neles não foram passíveis de apropriação;</w:t>
      </w:r>
    </w:p>
    <w:p w:rsidR="00D41989" w:rsidRPr="00D41989" w:rsidRDefault="00D41989" w:rsidP="00D41989">
      <w:pPr>
        <w:numPr>
          <w:ilvl w:val="0"/>
          <w:numId w:val="13"/>
        </w:numPr>
        <w:spacing w:line="240" w:lineRule="auto"/>
        <w:jc w:val="both"/>
      </w:pPr>
      <w:r w:rsidRPr="00D41989">
        <w:rPr>
          <w:b/>
        </w:rPr>
        <w:t>Operações Especiais:</w:t>
      </w:r>
      <w:r w:rsidRPr="00D41989">
        <w:t xml:space="preserve"> </w:t>
      </w:r>
      <w:proofErr w:type="gramStart"/>
      <w:r w:rsidRPr="00D41989">
        <w:t>As ações referentes ao serviço e refinanciamento das dívidas interna</w:t>
      </w:r>
      <w:proofErr w:type="gramEnd"/>
      <w:r w:rsidRPr="00D41989">
        <w:t xml:space="preserve"> e externa, às transferências constitucionais ou decorrentes de legislação específica (que não contribuem para a consecução dos objetivos dos demais tipos de programas) e aquelas relativas a outros encargos especiais, e à reserva de contingência, estão associadas a este tipo de programa.</w:t>
      </w:r>
    </w:p>
    <w:p w:rsidR="00D41989" w:rsidRPr="00D41989" w:rsidRDefault="00D41989" w:rsidP="00A87756">
      <w:pPr>
        <w:spacing w:line="240" w:lineRule="auto"/>
        <w:ind w:left="708" w:firstLine="708"/>
        <w:jc w:val="both"/>
      </w:pPr>
      <w:r w:rsidRPr="00D41989">
        <w:t>No âmbito do PPA 2008-2011, os Programas são classificados em:</w:t>
      </w:r>
    </w:p>
    <w:p w:rsidR="00D41989" w:rsidRPr="00D41989" w:rsidRDefault="00D41989" w:rsidP="00D41989">
      <w:pPr>
        <w:numPr>
          <w:ilvl w:val="0"/>
          <w:numId w:val="13"/>
        </w:numPr>
        <w:spacing w:line="240" w:lineRule="auto"/>
        <w:jc w:val="both"/>
      </w:pPr>
      <w:r w:rsidRPr="00D41989">
        <w:rPr>
          <w:b/>
        </w:rPr>
        <w:t>Finalísticos:</w:t>
      </w:r>
      <w:r w:rsidRPr="00D41989">
        <w:t xml:space="preserve"> dos quais resultam bens ou serviços ofertados diretamente à sociedade, cujos resultados sejam passíveis de mensuração;</w:t>
      </w:r>
    </w:p>
    <w:p w:rsidR="00D41989" w:rsidRDefault="00D41989" w:rsidP="00D41989">
      <w:pPr>
        <w:numPr>
          <w:ilvl w:val="0"/>
          <w:numId w:val="13"/>
        </w:numPr>
        <w:spacing w:line="240" w:lineRule="auto"/>
        <w:jc w:val="both"/>
      </w:pPr>
      <w:r w:rsidRPr="00D41989">
        <w:rPr>
          <w:b/>
        </w:rPr>
        <w:t>Programas de Apoio às Políticas Públicas e Áreas Especiais:</w:t>
      </w:r>
      <w:r w:rsidRPr="00D41989">
        <w:t xml:space="preserve"> são programas voltados aos serviços típicos de Estado, ao planejamento, à formulação de políticas setoriais, à coordenação, à avaliação ou ao controle dos programas finalísticos, resultando em bens ou serviços ofertados ao próprio Estado, podendo ser composto inclusive por despesas de natureza tipicamente administrativa;</w:t>
      </w:r>
    </w:p>
    <w:p w:rsidR="00071CAC" w:rsidRPr="00D41989" w:rsidRDefault="00071CAC" w:rsidP="00071CAC">
      <w:pPr>
        <w:spacing w:line="240" w:lineRule="auto"/>
        <w:ind w:left="720"/>
        <w:jc w:val="both"/>
      </w:pPr>
    </w:p>
    <w:p w:rsidR="00D41989" w:rsidRPr="00D41989" w:rsidRDefault="00D41989" w:rsidP="00D41989">
      <w:pPr>
        <w:numPr>
          <w:ilvl w:val="0"/>
          <w:numId w:val="13"/>
        </w:numPr>
        <w:spacing w:line="240" w:lineRule="auto"/>
        <w:jc w:val="both"/>
      </w:pPr>
      <w:r w:rsidRPr="00D41989">
        <w:rPr>
          <w:b/>
        </w:rPr>
        <w:t>Operações Especiais:</w:t>
      </w:r>
      <w:r w:rsidRPr="00D41989">
        <w:t xml:space="preserve"> </w:t>
      </w:r>
      <w:proofErr w:type="gramStart"/>
      <w:r w:rsidRPr="00D41989">
        <w:t>As ações referentes ao serviço e refinanciamento das dívidas interna</w:t>
      </w:r>
      <w:proofErr w:type="gramEnd"/>
      <w:r w:rsidRPr="00D41989">
        <w:t xml:space="preserve"> e externa, às transferências constitucionais ou decorrentes de legislação específica (que não contribuem para a consecução dos objetivos dos demais tipos de programas) e aquelas relativas a outros encargos especiais, e à reserva de contingência, estão associadas a este tipo de programa.</w:t>
      </w:r>
    </w:p>
    <w:p w:rsidR="00D41989" w:rsidRPr="00D41989" w:rsidRDefault="00D41989" w:rsidP="00A87756">
      <w:pPr>
        <w:spacing w:line="240" w:lineRule="auto"/>
        <w:ind w:firstLine="1416"/>
        <w:jc w:val="both"/>
      </w:pPr>
      <w:r w:rsidRPr="00D41989">
        <w:t xml:space="preserve">Em 2006 houve uma revisão no PPA 2004-2007, resultando na criação, alteração e extinção de alguns programas. Na elaboração do PPA 2008-2011, também houve a criação, alteração e </w:t>
      </w:r>
      <w:r w:rsidRPr="00D41989">
        <w:lastRenderedPageBreak/>
        <w:t>extinção de programas. Por isso, a série histórica apresentada na tabela não é contínua para alguns programas.</w:t>
      </w:r>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D41989" w:rsidRP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D41989" w:rsidRPr="00D41989" w:rsidRDefault="00D41989" w:rsidP="00D41989">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xml:space="preserve">: despesas que no momento da inscrição não estavam liquidadas; </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w:t>
      </w:r>
      <w:r w:rsidR="00A87756">
        <w:t>inscritos ao final do exercício.</w:t>
      </w:r>
    </w:p>
    <w:p w:rsidR="00071CAC" w:rsidRDefault="00071CAC" w:rsidP="00A87756">
      <w:pPr>
        <w:spacing w:line="240" w:lineRule="auto"/>
        <w:jc w:val="both"/>
        <w:rPr>
          <w:b/>
        </w:rPr>
      </w:pPr>
    </w:p>
    <w:p w:rsidR="00071CAC" w:rsidRPr="00071CAC" w:rsidRDefault="00815BCC" w:rsidP="00071CAC">
      <w:pPr>
        <w:spacing w:line="240" w:lineRule="auto"/>
        <w:jc w:val="both"/>
        <w:rPr>
          <w:b/>
        </w:rPr>
      </w:pPr>
      <w:r>
        <w:rPr>
          <w:b/>
        </w:rPr>
        <w:t>Tabela</w:t>
      </w:r>
      <w:r w:rsidR="00A87756" w:rsidRPr="00A87756">
        <w:rPr>
          <w:b/>
        </w:rPr>
        <w:t>. Evolução do orçamento anual do Ministério da Ciência, Tecnologia e Inovação, segundo grupo de natureza de de</w:t>
      </w:r>
      <w:r>
        <w:rPr>
          <w:b/>
        </w:rPr>
        <w:t xml:space="preserve">spesa, no período de 2004 a </w:t>
      </w:r>
      <w:proofErr w:type="gramStart"/>
      <w:r>
        <w:rPr>
          <w:b/>
        </w:rPr>
        <w:t>2011</w:t>
      </w:r>
      <w:proofErr w:type="gramEnd"/>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BF7BD4" w:rsidRPr="00D41989" w:rsidRDefault="00D41989" w:rsidP="00071CAC">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A86E80" w:rsidRDefault="00A86E80" w:rsidP="00A86E80">
      <w:pPr>
        <w:spacing w:line="240" w:lineRule="auto"/>
        <w:ind w:left="753"/>
        <w:jc w:val="both"/>
      </w:pP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D41989" w:rsidRPr="00D41989" w:rsidRDefault="00D41989" w:rsidP="00D41989">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despesas que no momento da inscrição não estavam liquidadas.</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w:t>
      </w:r>
      <w:r w:rsidR="002606CA">
        <w:t>inscritos ao final do exercício.</w:t>
      </w:r>
    </w:p>
    <w:p w:rsidR="002606CA" w:rsidRDefault="002606CA" w:rsidP="002606CA">
      <w:pPr>
        <w:spacing w:line="240" w:lineRule="auto"/>
        <w:jc w:val="both"/>
      </w:pPr>
    </w:p>
    <w:p w:rsidR="002606CA" w:rsidRDefault="00815BCC" w:rsidP="002606CA">
      <w:pPr>
        <w:spacing w:line="240" w:lineRule="auto"/>
        <w:jc w:val="both"/>
        <w:rPr>
          <w:b/>
        </w:rPr>
      </w:pPr>
      <w:r>
        <w:rPr>
          <w:b/>
        </w:rPr>
        <w:t>Tabela</w:t>
      </w:r>
      <w:r w:rsidR="002606CA" w:rsidRPr="002606CA">
        <w:rPr>
          <w:b/>
        </w:rPr>
        <w:t>. Evolução do orçamento anual do Ministério da Ciência, Tecnologia e Inovação, segundo função orçamen</w:t>
      </w:r>
      <w:r>
        <w:rPr>
          <w:b/>
        </w:rPr>
        <w:t xml:space="preserve">tária, no período de 2004 a </w:t>
      </w:r>
      <w:proofErr w:type="gramStart"/>
      <w:r>
        <w:rPr>
          <w:b/>
        </w:rPr>
        <w:t>2011</w:t>
      </w:r>
      <w:proofErr w:type="gramEnd"/>
    </w:p>
    <w:p w:rsidR="00D41989" w:rsidRPr="00D41989" w:rsidRDefault="00D41989" w:rsidP="002606CA">
      <w:pPr>
        <w:spacing w:line="240" w:lineRule="auto"/>
        <w:ind w:firstLine="1416"/>
        <w:jc w:val="both"/>
      </w:pPr>
      <w:r w:rsidRPr="00D41989">
        <w:t>Está relacionada com a missão institucional fundamental do órgão executor, por exemplo, no caso do MCTI, ciência e tecnologia (função 19).</w:t>
      </w:r>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BF7BD4" w:rsidRPr="00D41989" w:rsidRDefault="00D41989" w:rsidP="00071CAC">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A86E80" w:rsidRDefault="00A86E80" w:rsidP="00A86E80">
      <w:pPr>
        <w:spacing w:line="240" w:lineRule="auto"/>
        <w:ind w:left="1473"/>
        <w:jc w:val="both"/>
      </w:pP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despesas que no momento da inscrição não estavam liquidadas.</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w:t>
      </w:r>
      <w:r w:rsidR="002606CA">
        <w:t>inscritos ao final do exercício.</w:t>
      </w:r>
    </w:p>
    <w:p w:rsidR="00985149" w:rsidRDefault="00985149" w:rsidP="00985149">
      <w:pPr>
        <w:spacing w:line="240" w:lineRule="auto"/>
        <w:jc w:val="both"/>
      </w:pPr>
    </w:p>
    <w:p w:rsidR="00985149" w:rsidRDefault="00815BCC" w:rsidP="00985149">
      <w:pPr>
        <w:spacing w:line="240" w:lineRule="auto"/>
        <w:jc w:val="both"/>
        <w:rPr>
          <w:b/>
        </w:rPr>
      </w:pPr>
      <w:r>
        <w:rPr>
          <w:b/>
        </w:rPr>
        <w:t>Tabela</w:t>
      </w:r>
      <w:r w:rsidR="00985149" w:rsidRPr="00985149">
        <w:rPr>
          <w:b/>
        </w:rPr>
        <w:t xml:space="preserve">. Evolução do orçamento anual do Ministério da Ciência, Tecnologia e Inovação na função 19 - Ciência e Tecnologia, segundo </w:t>
      </w:r>
      <w:proofErr w:type="spellStart"/>
      <w:r w:rsidR="00985149" w:rsidRPr="00985149">
        <w:rPr>
          <w:b/>
        </w:rPr>
        <w:t>subfunção</w:t>
      </w:r>
      <w:proofErr w:type="spellEnd"/>
      <w:r w:rsidR="00985149" w:rsidRPr="00985149">
        <w:rPr>
          <w:b/>
        </w:rPr>
        <w:t xml:space="preserve"> orçamen</w:t>
      </w:r>
      <w:r>
        <w:rPr>
          <w:b/>
        </w:rPr>
        <w:t xml:space="preserve">tária, no período de 2004 a </w:t>
      </w:r>
      <w:proofErr w:type="gramStart"/>
      <w:r>
        <w:rPr>
          <w:b/>
        </w:rPr>
        <w:t>2011</w:t>
      </w:r>
      <w:proofErr w:type="gramEnd"/>
    </w:p>
    <w:p w:rsidR="00D41989" w:rsidRPr="00D41989" w:rsidRDefault="00D41989" w:rsidP="00985149">
      <w:pPr>
        <w:spacing w:line="240" w:lineRule="auto"/>
        <w:ind w:firstLine="1416"/>
        <w:jc w:val="both"/>
      </w:pPr>
      <w:r w:rsidRPr="00D41989">
        <w:t xml:space="preserve">As </w:t>
      </w:r>
      <w:proofErr w:type="spellStart"/>
      <w:r w:rsidRPr="00D41989">
        <w:t>subfunções</w:t>
      </w:r>
      <w:proofErr w:type="spellEnd"/>
      <w:r w:rsidRPr="00D41989">
        <w:t xml:space="preserve"> 571 - </w:t>
      </w:r>
      <w:proofErr w:type="gramStart"/>
      <w:r w:rsidRPr="00D41989">
        <w:t>Desenvolvimento Cientifico</w:t>
      </w:r>
      <w:proofErr w:type="gramEnd"/>
      <w:r w:rsidRPr="00D41989">
        <w:t xml:space="preserve">, 572 - Desenvolvimento Tecnológico e Engenharia e 573 - Difusão do Conhecimento Cientifico e Tecnológico são classificadas como </w:t>
      </w:r>
      <w:proofErr w:type="spellStart"/>
      <w:r w:rsidRPr="00D41989">
        <w:t>subfunções</w:t>
      </w:r>
      <w:proofErr w:type="spellEnd"/>
      <w:r w:rsidRPr="00D41989">
        <w:t xml:space="preserve"> típicas da função 19 – Ciência e Tecnologia. A </w:t>
      </w:r>
      <w:proofErr w:type="spellStart"/>
      <w:r w:rsidRPr="00D41989">
        <w:t>subfunção</w:t>
      </w:r>
      <w:proofErr w:type="spellEnd"/>
      <w:r w:rsidRPr="00D41989">
        <w:t xml:space="preserve"> 122 - Administração Geral foi destacada na tabela porque apresenta o maior valor de recursos alocados dentre as demais </w:t>
      </w:r>
      <w:proofErr w:type="spellStart"/>
      <w:r w:rsidRPr="00D41989">
        <w:t>subfunções</w:t>
      </w:r>
      <w:proofErr w:type="spellEnd"/>
      <w:r w:rsidRPr="00D41989">
        <w:t>.</w:t>
      </w:r>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Apenas os recursos alocados na função 19 – Ciência e Tecnologia;</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D41989" w:rsidRP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Default="00D41989" w:rsidP="00D41989">
      <w:pPr>
        <w:numPr>
          <w:ilvl w:val="0"/>
          <w:numId w:val="11"/>
        </w:numPr>
        <w:spacing w:line="240" w:lineRule="auto"/>
        <w:jc w:val="both"/>
      </w:pPr>
      <w:r w:rsidRPr="00D41989">
        <w:t>Todos os recursos destinados à contrapartida de empréstimos e doações;</w:t>
      </w:r>
    </w:p>
    <w:p w:rsidR="00D41989" w:rsidRDefault="00D41989" w:rsidP="00D41989">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despesas que no momento da inscrição não estavam liquidadas.</w:t>
      </w:r>
    </w:p>
    <w:p w:rsidR="00A86E80" w:rsidRPr="00D41989" w:rsidRDefault="00A86E80" w:rsidP="00A86E80">
      <w:pPr>
        <w:spacing w:line="240" w:lineRule="auto"/>
        <w:ind w:left="753"/>
        <w:jc w:val="both"/>
      </w:pPr>
    </w:p>
    <w:p w:rsidR="00A86E80" w:rsidRDefault="00A86E80" w:rsidP="00D41989">
      <w:pPr>
        <w:spacing w:line="240" w:lineRule="auto"/>
        <w:ind w:firstLine="360"/>
        <w:jc w:val="both"/>
        <w:rPr>
          <w:i/>
        </w:rPr>
      </w:pP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inscritos ao final do exerc</w:t>
      </w:r>
      <w:r w:rsidR="00985149">
        <w:t>ício.</w:t>
      </w:r>
    </w:p>
    <w:p w:rsidR="00A86E80" w:rsidRDefault="00A86E80" w:rsidP="006F13E3">
      <w:pPr>
        <w:spacing w:line="240" w:lineRule="auto"/>
        <w:jc w:val="both"/>
        <w:rPr>
          <w:b/>
        </w:rPr>
      </w:pPr>
    </w:p>
    <w:p w:rsidR="006F13E3" w:rsidRDefault="00815BCC" w:rsidP="006F13E3">
      <w:pPr>
        <w:spacing w:line="240" w:lineRule="auto"/>
        <w:jc w:val="both"/>
        <w:rPr>
          <w:b/>
        </w:rPr>
      </w:pPr>
      <w:r>
        <w:rPr>
          <w:b/>
        </w:rPr>
        <w:t>Tabela</w:t>
      </w:r>
      <w:r w:rsidR="006F13E3" w:rsidRPr="006F13E3">
        <w:rPr>
          <w:b/>
        </w:rPr>
        <w:t>. Evolução do orçamento anual do Ministério da Ciência, Tecnologia e Inovação, segundo fonte de recursos da despesa orçamen</w:t>
      </w:r>
      <w:r>
        <w:rPr>
          <w:b/>
        </w:rPr>
        <w:t>tária, no período de 2004 a 2011</w:t>
      </w:r>
      <w:r w:rsidR="006F13E3">
        <w:rPr>
          <w:b/>
        </w:rPr>
        <w:t>.</w:t>
      </w:r>
    </w:p>
    <w:p w:rsidR="00D41989" w:rsidRP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D41989" w:rsidRP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D41989" w:rsidRPr="00D41989" w:rsidRDefault="00D41989" w:rsidP="00D41989">
      <w:pPr>
        <w:numPr>
          <w:ilvl w:val="0"/>
          <w:numId w:val="11"/>
        </w:numPr>
        <w:spacing w:line="240" w:lineRule="auto"/>
        <w:jc w:val="both"/>
      </w:pPr>
      <w:r w:rsidRPr="00D41989">
        <w:t xml:space="preserve">Os valores correspondentes a todas as unidades orçamentárias do MCTI: Administração Direta, CNPq, </w:t>
      </w:r>
      <w:proofErr w:type="gramStart"/>
      <w:r w:rsidRPr="00D41989">
        <w:t>Finep</w:t>
      </w:r>
      <w:proofErr w:type="gramEnd"/>
      <w:r w:rsidRPr="00D41989">
        <w:t xml:space="preserve">, CNEN, AEB, INB, </w:t>
      </w:r>
      <w:proofErr w:type="spellStart"/>
      <w:r w:rsidRPr="00D41989">
        <w:t>Nuclep</w:t>
      </w:r>
      <w:proofErr w:type="spellEnd"/>
      <w:r w:rsidRPr="00D41989">
        <w:t>, CEITEC, FNDCT e recursos sob supervisão do FNDCT;</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despesas que no momento da inscrição não estavam liquidadas.</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inscritos ao final do exercício</w:t>
      </w:r>
      <w:r w:rsidR="006F13E3">
        <w:t>.</w:t>
      </w:r>
    </w:p>
    <w:p w:rsidR="006F13E3" w:rsidRPr="00D41989" w:rsidRDefault="006F13E3" w:rsidP="006F13E3">
      <w:pPr>
        <w:spacing w:line="240" w:lineRule="auto"/>
        <w:ind w:left="720"/>
        <w:jc w:val="both"/>
      </w:pPr>
    </w:p>
    <w:p w:rsidR="006F13E3" w:rsidRDefault="00815BCC" w:rsidP="006F13E3">
      <w:pPr>
        <w:spacing w:line="240" w:lineRule="auto"/>
        <w:jc w:val="both"/>
        <w:rPr>
          <w:b/>
        </w:rPr>
      </w:pPr>
      <w:r>
        <w:rPr>
          <w:b/>
        </w:rPr>
        <w:t>Tabela</w:t>
      </w:r>
      <w:r w:rsidR="006F13E3" w:rsidRPr="006F13E3">
        <w:rPr>
          <w:b/>
        </w:rPr>
        <w:t>. Evolução do orçamento anual do FNDCT, segundo principais agregados, no período de 2004 a 201</w:t>
      </w:r>
      <w:r>
        <w:rPr>
          <w:b/>
        </w:rPr>
        <w:t>1</w:t>
      </w:r>
      <w:r w:rsidR="006F13E3">
        <w:rPr>
          <w:b/>
        </w:rPr>
        <w:t>.</w:t>
      </w:r>
    </w:p>
    <w:p w:rsidR="00D41989" w:rsidRPr="00D41989" w:rsidRDefault="00D41989" w:rsidP="006F13E3">
      <w:pPr>
        <w:spacing w:line="240" w:lineRule="auto"/>
        <w:jc w:val="both"/>
      </w:pPr>
      <w:r w:rsidRPr="00D41989">
        <w:t xml:space="preserve">O orçamento total do FNDCT, que abrange os recursos das unidades orçamentárias 24901 – FNDCT e 74910 - recursos </w:t>
      </w:r>
      <w:proofErr w:type="gramStart"/>
      <w:r w:rsidRPr="00D41989">
        <w:t>sob supervisão</w:t>
      </w:r>
      <w:proofErr w:type="gramEnd"/>
      <w:r w:rsidRPr="00D41989">
        <w:t xml:space="preserve"> do FNDCT, é apresentado classificado pelos principais agregados.</w:t>
      </w:r>
    </w:p>
    <w:p w:rsidR="00A86E80" w:rsidRDefault="00A86E80" w:rsidP="00D41989">
      <w:pPr>
        <w:spacing w:line="240" w:lineRule="auto"/>
        <w:ind w:firstLine="360"/>
        <w:jc w:val="both"/>
        <w:rPr>
          <w:i/>
        </w:rPr>
      </w:pPr>
    </w:p>
    <w:p w:rsidR="00A86E80" w:rsidRDefault="00A86E80" w:rsidP="00D41989">
      <w:pPr>
        <w:spacing w:line="240" w:lineRule="auto"/>
        <w:ind w:firstLine="360"/>
        <w:jc w:val="both"/>
        <w:rPr>
          <w:i/>
        </w:rPr>
      </w:pPr>
    </w:p>
    <w:p w:rsidR="00D41989" w:rsidRDefault="00D41989" w:rsidP="00D41989">
      <w:pPr>
        <w:spacing w:line="240" w:lineRule="auto"/>
        <w:ind w:firstLine="360"/>
        <w:jc w:val="both"/>
        <w:rPr>
          <w:i/>
        </w:rPr>
      </w:pPr>
      <w:r w:rsidRPr="00D41989">
        <w:rPr>
          <w:i/>
        </w:rPr>
        <w:t>São computados:</w:t>
      </w:r>
    </w:p>
    <w:p w:rsidR="00D41989" w:rsidRPr="00D41989" w:rsidRDefault="00D41989" w:rsidP="00D41989">
      <w:pPr>
        <w:numPr>
          <w:ilvl w:val="0"/>
          <w:numId w:val="11"/>
        </w:numPr>
        <w:spacing w:line="240" w:lineRule="auto"/>
        <w:jc w:val="both"/>
      </w:pPr>
      <w:r w:rsidRPr="00D41989">
        <w:t>Os valores constantes na Lei Orçamentária Anual (LOA), atualizados ao longo do ano pelos créditos adicionais;</w:t>
      </w:r>
    </w:p>
    <w:p w:rsidR="00D41989" w:rsidRPr="00D41989" w:rsidRDefault="00D41989" w:rsidP="00D41989">
      <w:pPr>
        <w:numPr>
          <w:ilvl w:val="0"/>
          <w:numId w:val="11"/>
        </w:numPr>
        <w:spacing w:line="240" w:lineRule="auto"/>
        <w:jc w:val="both"/>
      </w:pPr>
      <w:r w:rsidRPr="00D41989">
        <w:t>Os valores dos empenhos efetivamente liquidados das dotações do orçamento fiscal, da seguridade social e de investimento;</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cobrada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D41989" w:rsidRPr="00D41989" w:rsidRDefault="00D41989" w:rsidP="00D41989">
      <w:pPr>
        <w:numPr>
          <w:ilvl w:val="0"/>
          <w:numId w:val="11"/>
        </w:numPr>
        <w:spacing w:line="240" w:lineRule="auto"/>
        <w:jc w:val="both"/>
      </w:pPr>
      <w:r w:rsidRPr="00D41989">
        <w:t>Todos os grupos de natureza de despesa (pessoal e encargos sociais, juros e encargos da dívida, outras despesas correntes, investimentos, inversões financeiras, amortização da dívida, reserva de contingência);</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xml:space="preserve">: despesas que no momento da inscrição não estavam liquidadas; </w:t>
      </w:r>
    </w:p>
    <w:p w:rsidR="00D41989" w:rsidRPr="00D41989" w:rsidRDefault="00D41989" w:rsidP="00D41989">
      <w:pPr>
        <w:spacing w:line="240" w:lineRule="auto"/>
        <w:ind w:firstLine="360"/>
        <w:jc w:val="both"/>
        <w:rPr>
          <w:i/>
        </w:rPr>
      </w:pPr>
      <w:r w:rsidRPr="00D41989">
        <w:rPr>
          <w:i/>
        </w:rPr>
        <w:t>Não são computados:</w:t>
      </w:r>
    </w:p>
    <w:p w:rsid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w:t>
      </w:r>
      <w:r w:rsidR="006F13E3">
        <w:t>inscritos ao final do exercício.</w:t>
      </w:r>
    </w:p>
    <w:p w:rsidR="006F13E3" w:rsidRPr="00D41989" w:rsidRDefault="006F13E3" w:rsidP="006F13E3">
      <w:pPr>
        <w:spacing w:line="240" w:lineRule="auto"/>
        <w:ind w:left="720"/>
        <w:jc w:val="both"/>
      </w:pPr>
    </w:p>
    <w:p w:rsidR="00D97A90" w:rsidRDefault="00D97A90" w:rsidP="00D97A90">
      <w:pPr>
        <w:spacing w:line="240" w:lineRule="auto"/>
        <w:jc w:val="both"/>
        <w:rPr>
          <w:b/>
        </w:rPr>
      </w:pPr>
      <w:r>
        <w:rPr>
          <w:b/>
        </w:rPr>
        <w:t>T</w:t>
      </w:r>
      <w:r w:rsidR="00815BCC">
        <w:rPr>
          <w:b/>
        </w:rPr>
        <w:t>abela</w:t>
      </w:r>
      <w:r w:rsidRPr="00D97A90">
        <w:rPr>
          <w:b/>
        </w:rPr>
        <w:t>. Evolução do orçamento anual do Ministério da Ciência, Tecnologia e Inovação alocado no Programa Nuclear, segundo fonte de recursos da despesa orçamen</w:t>
      </w:r>
      <w:r w:rsidR="00815BCC">
        <w:rPr>
          <w:b/>
        </w:rPr>
        <w:t>tária, no período de 2004 a 2011</w:t>
      </w:r>
      <w:r>
        <w:rPr>
          <w:b/>
        </w:rPr>
        <w:t>.</w:t>
      </w:r>
    </w:p>
    <w:p w:rsidR="00D41989" w:rsidRPr="00D41989" w:rsidRDefault="00D41989" w:rsidP="00D97A90">
      <w:pPr>
        <w:spacing w:line="240" w:lineRule="auto"/>
        <w:ind w:firstLine="393"/>
        <w:jc w:val="both"/>
        <w:rPr>
          <w:i/>
        </w:rPr>
      </w:pPr>
      <w:r w:rsidRPr="00D41989">
        <w:rPr>
          <w:i/>
        </w:rPr>
        <w:t>São computados:</w:t>
      </w:r>
    </w:p>
    <w:p w:rsidR="00D41989" w:rsidRDefault="00D41989" w:rsidP="00D41989">
      <w:pPr>
        <w:numPr>
          <w:ilvl w:val="0"/>
          <w:numId w:val="11"/>
        </w:numPr>
        <w:spacing w:line="240" w:lineRule="auto"/>
        <w:jc w:val="both"/>
      </w:pPr>
      <w:r w:rsidRPr="00D41989">
        <w:t>Apenas os recursos do MCTI alocados no Programa Nuclear;</w:t>
      </w:r>
    </w:p>
    <w:p w:rsidR="00D41989" w:rsidRDefault="00D41989" w:rsidP="00D41989">
      <w:pPr>
        <w:numPr>
          <w:ilvl w:val="0"/>
          <w:numId w:val="11"/>
        </w:numPr>
        <w:spacing w:line="240" w:lineRule="auto"/>
        <w:jc w:val="both"/>
      </w:pPr>
      <w:bookmarkStart w:id="1" w:name="_GoBack"/>
      <w:bookmarkEnd w:id="1"/>
      <w:r w:rsidRPr="00D41989">
        <w:t>Os valores constantes na Lei Orçamentária Anual (LOA), atualizados ao longo do ano pelos créditos adicionais;</w:t>
      </w:r>
    </w:p>
    <w:p w:rsidR="00D41989" w:rsidRPr="00D41989" w:rsidRDefault="00D41989" w:rsidP="00D41989">
      <w:pPr>
        <w:numPr>
          <w:ilvl w:val="0"/>
          <w:numId w:val="11"/>
        </w:numPr>
        <w:spacing w:line="240" w:lineRule="auto"/>
        <w:jc w:val="both"/>
      </w:pPr>
      <w:r w:rsidRPr="00D41989">
        <w:t>Apenas os valores dos empenhos efetivamente liquidados das dotações do orçamento fiscal e da seguridade social;</w:t>
      </w:r>
    </w:p>
    <w:p w:rsidR="00D41989" w:rsidRPr="00D41989" w:rsidRDefault="00D41989" w:rsidP="00D41989">
      <w:pPr>
        <w:numPr>
          <w:ilvl w:val="1"/>
          <w:numId w:val="11"/>
        </w:numPr>
        <w:spacing w:line="240" w:lineRule="auto"/>
        <w:jc w:val="both"/>
      </w:pPr>
      <w:r w:rsidRPr="00D41989">
        <w:t>Valores liquidados: correspondem ao segundo estágio de execução da despesa, na qual será a prestação dos serviços, entrega dos bens ou realização da obra;</w:t>
      </w:r>
    </w:p>
    <w:p w:rsidR="00D41989" w:rsidRPr="00D41989" w:rsidRDefault="00D41989" w:rsidP="00D41989">
      <w:pPr>
        <w:numPr>
          <w:ilvl w:val="0"/>
          <w:numId w:val="11"/>
        </w:numPr>
        <w:spacing w:line="240" w:lineRule="auto"/>
        <w:jc w:val="both"/>
      </w:pPr>
      <w:r w:rsidRPr="00D41989">
        <w:t>Todas as fontes de recursos, ou seja, tanto os recursos do Tesouro como de outras fontes;</w:t>
      </w:r>
    </w:p>
    <w:p w:rsidR="00D41989" w:rsidRPr="00D41989" w:rsidRDefault="00D41989" w:rsidP="00D41989">
      <w:pPr>
        <w:numPr>
          <w:ilvl w:val="0"/>
          <w:numId w:val="11"/>
        </w:numPr>
        <w:spacing w:line="240" w:lineRule="auto"/>
        <w:jc w:val="both"/>
      </w:pPr>
      <w:r w:rsidRPr="00D41989">
        <w:t>Todos os recursos destinados à contrapartida de empréstimos e doações;</w:t>
      </w:r>
    </w:p>
    <w:p w:rsidR="00BF7BD4" w:rsidRPr="00D41989" w:rsidRDefault="00D41989" w:rsidP="006B746B">
      <w:pPr>
        <w:numPr>
          <w:ilvl w:val="0"/>
          <w:numId w:val="11"/>
        </w:numPr>
        <w:spacing w:line="240" w:lineRule="auto"/>
        <w:jc w:val="both"/>
      </w:pPr>
      <w:r w:rsidRPr="00D41989">
        <w:lastRenderedPageBreak/>
        <w:t xml:space="preserve">Os valores correspondentes a todas as unidades orçamentárias do MCTI que executam este programa: Administração Direta, CNEN, INB e </w:t>
      </w:r>
      <w:proofErr w:type="spellStart"/>
      <w:r w:rsidRPr="00D41989">
        <w:t>Nuclep</w:t>
      </w:r>
      <w:proofErr w:type="spellEnd"/>
      <w:r w:rsidRPr="00D41989">
        <w:t>;</w:t>
      </w:r>
    </w:p>
    <w:p w:rsidR="00D41989" w:rsidRPr="00D41989" w:rsidRDefault="00D41989" w:rsidP="00D41989">
      <w:pPr>
        <w:numPr>
          <w:ilvl w:val="0"/>
          <w:numId w:val="11"/>
        </w:numPr>
        <w:spacing w:line="240" w:lineRule="auto"/>
        <w:jc w:val="both"/>
      </w:pPr>
      <w:r w:rsidRPr="00D41989">
        <w:t>Apenas os grupos de natureza de despesa: 3 - outras despesas correntes, 4 - investimentos e 5 - inversões financeiras;</w:t>
      </w:r>
    </w:p>
    <w:p w:rsidR="00D41989" w:rsidRPr="00D41989" w:rsidRDefault="00D41989" w:rsidP="00D41989">
      <w:pPr>
        <w:numPr>
          <w:ilvl w:val="0"/>
          <w:numId w:val="11"/>
        </w:numPr>
        <w:spacing w:line="240" w:lineRule="auto"/>
        <w:jc w:val="both"/>
      </w:pPr>
      <w:r w:rsidRPr="00D41989">
        <w:t xml:space="preserve">Até o exercício de 2007, inclusive,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1"/>
          <w:numId w:val="11"/>
        </w:numPr>
        <w:spacing w:line="240" w:lineRule="auto"/>
        <w:jc w:val="both"/>
      </w:pPr>
      <w:r w:rsidRPr="00D41989">
        <w:t>Restos a pagar: correspondem as despesas empenhadas, mas não pagas até 31 de dezembro;</w:t>
      </w:r>
    </w:p>
    <w:p w:rsidR="00D41989" w:rsidRPr="00D41989" w:rsidRDefault="00D41989" w:rsidP="00D41989">
      <w:pPr>
        <w:numPr>
          <w:ilvl w:val="1"/>
          <w:numId w:val="11"/>
        </w:numPr>
        <w:spacing w:line="240" w:lineRule="auto"/>
        <w:jc w:val="both"/>
      </w:pPr>
      <w:r w:rsidRPr="00D41989">
        <w:t xml:space="preserve">Restos a pagar </w:t>
      </w:r>
      <w:proofErr w:type="gramStart"/>
      <w:r w:rsidRPr="00D41989">
        <w:t>não-processados</w:t>
      </w:r>
      <w:proofErr w:type="gramEnd"/>
      <w:r w:rsidRPr="00D41989">
        <w:t>: despesas que no momento da inscrição não estavam liquidadas.</w:t>
      </w:r>
    </w:p>
    <w:p w:rsidR="00D41989" w:rsidRPr="00D41989" w:rsidRDefault="00D41989" w:rsidP="00D41989">
      <w:pPr>
        <w:spacing w:line="240" w:lineRule="auto"/>
        <w:ind w:firstLine="360"/>
        <w:jc w:val="both"/>
        <w:rPr>
          <w:i/>
        </w:rPr>
      </w:pPr>
      <w:r w:rsidRPr="00D41989">
        <w:rPr>
          <w:i/>
        </w:rPr>
        <w:t>Não são computados:</w:t>
      </w:r>
    </w:p>
    <w:p w:rsidR="00D41989" w:rsidRPr="00D41989" w:rsidRDefault="00D41989" w:rsidP="00D41989">
      <w:pPr>
        <w:numPr>
          <w:ilvl w:val="0"/>
          <w:numId w:val="12"/>
        </w:numPr>
        <w:spacing w:line="240" w:lineRule="auto"/>
        <w:jc w:val="both"/>
      </w:pPr>
      <w:r w:rsidRPr="00D41989">
        <w:t xml:space="preserve">A partir do exercício de 2008, os restos a pagar </w:t>
      </w:r>
      <w:proofErr w:type="gramStart"/>
      <w:r w:rsidRPr="00D41989">
        <w:t>não-processados</w:t>
      </w:r>
      <w:proofErr w:type="gramEnd"/>
      <w:r w:rsidRPr="00D41989">
        <w:t xml:space="preserve"> inscritos ao final do exercício;</w:t>
      </w:r>
    </w:p>
    <w:p w:rsidR="00D41989" w:rsidRPr="00D41989" w:rsidRDefault="00D41989" w:rsidP="00D41989">
      <w:pPr>
        <w:numPr>
          <w:ilvl w:val="0"/>
          <w:numId w:val="12"/>
        </w:numPr>
        <w:spacing w:line="240" w:lineRule="auto"/>
        <w:jc w:val="both"/>
      </w:pPr>
      <w:r w:rsidRPr="00D41989">
        <w:t>Os grupos de natureza de despesa 1 - Pessoal e Encargos Sociais, 2 - Juros e Encargos da Dívida, 6 - Amortização da Dívida e 9 - Reserva de Contingência.</w:t>
      </w:r>
    </w:p>
    <w:p w:rsidR="00D41989" w:rsidRPr="00D41989" w:rsidRDefault="00D41989" w:rsidP="00D41989">
      <w:pPr>
        <w:spacing w:after="0" w:line="240" w:lineRule="auto"/>
        <w:ind w:firstLine="1418"/>
        <w:jc w:val="both"/>
      </w:pPr>
    </w:p>
    <w:sectPr w:rsidR="00D41989" w:rsidRPr="00D41989" w:rsidSect="000A78C5">
      <w:headerReference w:type="default" r:id="rId9"/>
      <w:footerReference w:type="default" r:id="rId10"/>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66" w:rsidRDefault="00530A66" w:rsidP="007A7350">
      <w:pPr>
        <w:spacing w:after="0" w:line="240" w:lineRule="auto"/>
      </w:pPr>
      <w:r>
        <w:separator/>
      </w:r>
    </w:p>
  </w:endnote>
  <w:endnote w:type="continuationSeparator" w:id="0">
    <w:p w:rsidR="00530A66" w:rsidRDefault="00530A66" w:rsidP="007A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93016"/>
      <w:docPartObj>
        <w:docPartGallery w:val="Page Numbers (Bottom of Page)"/>
        <w:docPartUnique/>
      </w:docPartObj>
    </w:sdtPr>
    <w:sdtEndPr/>
    <w:sdtContent>
      <w:p w:rsidR="00A34C9A" w:rsidRDefault="00A34C9A">
        <w:pPr>
          <w:pStyle w:val="Rodap"/>
          <w:jc w:val="center"/>
        </w:pPr>
        <w:r>
          <w:fldChar w:fldCharType="begin"/>
        </w:r>
        <w:r>
          <w:instrText xml:space="preserve"> PAGE   \* MERGEFORMAT </w:instrText>
        </w:r>
        <w:r>
          <w:fldChar w:fldCharType="separate"/>
        </w:r>
        <w:r w:rsidR="00A86E80">
          <w:rPr>
            <w:noProof/>
          </w:rPr>
          <w:t>10</w:t>
        </w:r>
        <w:r>
          <w:rPr>
            <w:noProof/>
          </w:rPr>
          <w:fldChar w:fldCharType="end"/>
        </w:r>
      </w:p>
    </w:sdtContent>
  </w:sdt>
  <w:p w:rsidR="00A34C9A" w:rsidRDefault="00A34C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66" w:rsidRDefault="00530A66" w:rsidP="007A7350">
      <w:pPr>
        <w:spacing w:after="0" w:line="240" w:lineRule="auto"/>
      </w:pPr>
      <w:r>
        <w:separator/>
      </w:r>
    </w:p>
  </w:footnote>
  <w:footnote w:type="continuationSeparator" w:id="0">
    <w:p w:rsidR="00530A66" w:rsidRDefault="00530A66" w:rsidP="007A7350">
      <w:pPr>
        <w:spacing w:after="0" w:line="240" w:lineRule="auto"/>
      </w:pPr>
      <w:r>
        <w:continuationSeparator/>
      </w:r>
    </w:p>
  </w:footnote>
  <w:footnote w:id="1">
    <w:p w:rsidR="00A34C9A" w:rsidRDefault="00A34C9A" w:rsidP="006609B0">
      <w:pPr>
        <w:pStyle w:val="Textodenotaderodap"/>
        <w:jc w:val="both"/>
      </w:pPr>
      <w:r>
        <w:rPr>
          <w:rStyle w:val="Refdenotaderodap"/>
        </w:rPr>
        <w:footnoteRef/>
      </w:r>
      <w:r>
        <w:t xml:space="preserve"> A partir do PPA 2012-2015, ocorreu uma mudança metodológica em relação ao conceito do programa. Neste sentido, é introduzida a figura do Programa Temático que retrata a agenda de governo organizada pelos Temas das Políticas Públicas e orienta a ação governamental.  Assim, a indagação a ser respondida pela estrutura programática se refere a “qual o tema da política pública?”.  Por fim, cabe apontar que o Programa Temático se desdobra em objetivos e iniciativas.</w:t>
      </w:r>
    </w:p>
  </w:footnote>
  <w:footnote w:id="2">
    <w:p w:rsidR="00A34C9A" w:rsidRDefault="00A34C9A">
      <w:pPr>
        <w:pStyle w:val="Textodenotaderodap"/>
      </w:pPr>
      <w:r>
        <w:rPr>
          <w:rStyle w:val="Refdenotaderodap"/>
        </w:rPr>
        <w:footnoteRef/>
      </w:r>
      <w:r>
        <w:t xml:space="preserve"> O órgão orçamentário é o responsável maior pela execução da despesa. Desta forma, o órgão possui uma ou mais unidades orçamentária subordinadas.</w:t>
      </w:r>
    </w:p>
  </w:footnote>
  <w:footnote w:id="3">
    <w:p w:rsidR="00A34C9A" w:rsidRDefault="00A34C9A">
      <w:pPr>
        <w:pStyle w:val="Textodenotaderodap"/>
      </w:pPr>
      <w:r>
        <w:rPr>
          <w:rStyle w:val="Refdenotaderodap"/>
        </w:rPr>
        <w:footnoteRef/>
      </w:r>
      <w:r>
        <w:t xml:space="preserve"> A unidade orçamentária é o </w:t>
      </w:r>
      <w:r w:rsidRPr="00D45C96">
        <w:t xml:space="preserve">segmento da administração direta ou indireta </w:t>
      </w:r>
      <w:r>
        <w:t xml:space="preserve">que é consignada dotações específicas para </w:t>
      </w:r>
      <w:r w:rsidRPr="00D45C96">
        <w:t>a realização de seus programas de trabalho</w:t>
      </w:r>
      <w:r>
        <w:t>.</w:t>
      </w:r>
    </w:p>
  </w:footnote>
  <w:footnote w:id="4">
    <w:p w:rsidR="00A34C9A" w:rsidRDefault="00A34C9A" w:rsidP="002632DD">
      <w:pPr>
        <w:pStyle w:val="Textodenotaderodap"/>
        <w:jc w:val="both"/>
      </w:pPr>
      <w:r>
        <w:rPr>
          <w:rStyle w:val="Refdenotaderodap"/>
        </w:rPr>
        <w:footnoteRef/>
      </w:r>
      <w:r>
        <w:t xml:space="preserve"> O resultado primário se refere à diferença entre as receitas primárias – que excluí os ganhos de aplicações financeiras – e as despesas primárias,</w:t>
      </w:r>
      <w:proofErr w:type="gramStart"/>
      <w:r>
        <w:t xml:space="preserve">  </w:t>
      </w:r>
      <w:proofErr w:type="gramEnd"/>
      <w:r>
        <w:t>as quais excluem as despesas com juros, amortização da dívida, aquisição de títulos de capital integralizado e concessão de empréstimos com retorno garantido. Neste sentido, o resultado primário procura mensurar como as ações correntes do setor público afetam a trajetória do seu endividamento líquido.</w:t>
      </w:r>
    </w:p>
    <w:p w:rsidR="00A34C9A" w:rsidRDefault="00A34C9A">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9A" w:rsidRPr="00BD6F60" w:rsidRDefault="00A34C9A" w:rsidP="00BC390C">
    <w:pPr>
      <w:pStyle w:val="Cabealho"/>
      <w:ind w:hanging="851"/>
      <w:rPr>
        <w:b/>
      </w:rPr>
    </w:pPr>
    <w:r>
      <w:rPr>
        <w:noProof/>
        <w:lang w:eastAsia="pt-BR"/>
      </w:rPr>
      <w:drawing>
        <wp:inline distT="0" distB="0" distL="0" distR="0" wp14:anchorId="670240AC" wp14:editId="5C77F05B">
          <wp:extent cx="1627188" cy="530225"/>
          <wp:effectExtent l="0" t="0" r="0" b="317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188" cy="530225"/>
                  </a:xfrm>
                  <a:prstGeom prst="rect">
                    <a:avLst/>
                  </a:prstGeom>
                  <a:noFill/>
                  <a:ln>
                    <a:noFill/>
                  </a:ln>
                  <a:extLst/>
                </pic:spPr>
              </pic:pic>
            </a:graphicData>
          </a:graphic>
        </wp:inline>
      </w:drawing>
    </w: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3243580</wp:posOffset>
              </wp:positionH>
              <wp:positionV relativeFrom="paragraph">
                <wp:posOffset>-212090</wp:posOffset>
              </wp:positionV>
              <wp:extent cx="1700530" cy="571500"/>
              <wp:effectExtent l="0" t="0" r="0" b="0"/>
              <wp:wrapNone/>
              <wp:docPr id="3"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C9A" w:rsidRPr="001F37F0" w:rsidRDefault="00A34C9A" w:rsidP="00BC390C">
                          <w:pPr>
                            <w:autoSpaceDE w:val="0"/>
                            <w:autoSpaceDN w:val="0"/>
                            <w:adjustRightInd w:val="0"/>
                            <w:spacing w:after="0" w:line="240" w:lineRule="auto"/>
                            <w:jc w:val="right"/>
                            <w:rPr>
                              <w:rFonts w:ascii="Calibri" w:eastAsia="Calibri" w:hAnsi="Calibri" w:cs="Calibri"/>
                              <w:b/>
                              <w:bCs/>
                              <w:color w:val="003366"/>
                              <w:sz w:val="20"/>
                              <w:szCs w:val="20"/>
                            </w:rPr>
                          </w:pPr>
                          <w:r w:rsidRPr="001F37F0">
                            <w:rPr>
                              <w:rFonts w:ascii="Calibri" w:eastAsia="Calibri" w:hAnsi="Calibri" w:cs="Calibri"/>
                              <w:b/>
                              <w:bCs/>
                              <w:color w:val="003366"/>
                              <w:sz w:val="20"/>
                              <w:szCs w:val="20"/>
                            </w:rPr>
                            <w:t>Ministério da</w:t>
                          </w:r>
                        </w:p>
                        <w:p w:rsidR="00A34C9A" w:rsidRPr="001F37F0" w:rsidRDefault="00A34C9A" w:rsidP="00BC390C">
                          <w:pPr>
                            <w:autoSpaceDE w:val="0"/>
                            <w:autoSpaceDN w:val="0"/>
                            <w:adjustRightInd w:val="0"/>
                            <w:spacing w:after="0" w:line="240" w:lineRule="auto"/>
                            <w:jc w:val="right"/>
                            <w:rPr>
                              <w:rFonts w:ascii="Calibri" w:eastAsia="Calibri" w:hAnsi="Calibri" w:cs="Calibri"/>
                              <w:b/>
                              <w:bCs/>
                              <w:color w:val="003366"/>
                              <w:sz w:val="20"/>
                              <w:szCs w:val="20"/>
                            </w:rPr>
                          </w:pPr>
                          <w:r>
                            <w:rPr>
                              <w:rFonts w:ascii="Calibri" w:eastAsia="Calibri" w:hAnsi="Calibri" w:cs="Calibri"/>
                              <w:b/>
                              <w:bCs/>
                              <w:color w:val="003366"/>
                              <w:sz w:val="20"/>
                              <w:szCs w:val="20"/>
                            </w:rPr>
                            <w:t>Ciência,</w:t>
                          </w:r>
                          <w:r w:rsidRPr="001F37F0">
                            <w:rPr>
                              <w:rFonts w:ascii="Calibri" w:eastAsia="Calibri" w:hAnsi="Calibri" w:cs="Calibri"/>
                              <w:b/>
                              <w:bCs/>
                              <w:color w:val="003366"/>
                              <w:sz w:val="20"/>
                              <w:szCs w:val="20"/>
                            </w:rPr>
                            <w:t xml:space="preserve"> Tecnologia e </w:t>
                          </w:r>
                          <w:proofErr w:type="gramStart"/>
                          <w:r w:rsidRPr="001F37F0">
                            <w:rPr>
                              <w:rFonts w:ascii="Calibri" w:eastAsia="Calibri" w:hAnsi="Calibri" w:cs="Calibri"/>
                              <w:b/>
                              <w:bCs/>
                              <w:color w:val="003366"/>
                              <w:sz w:val="20"/>
                              <w:szCs w:val="20"/>
                            </w:rPr>
                            <w:t>Inovação</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Rectangle 1044" o:spid="_x0000_s1026" style="position:absolute;margin-left:255.4pt;margin-top:-16.7pt;width:133.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" filled="f" stroked="f">
              <v:textbox>
                <w:txbxContent>
                  <w:p w:rsidR="00A34C9A" w:rsidRPr="001F37F0" w:rsidRDefault="00A34C9A" w:rsidP="00BC390C">
                    <w:pPr>
                      <w:autoSpaceDE w:val="0"/>
                      <w:autoSpaceDN w:val="0"/>
                      <w:adjustRightInd w:val="0"/>
                      <w:spacing w:after="0" w:line="240" w:lineRule="auto"/>
                      <w:jc w:val="right"/>
                      <w:rPr>
                        <w:rFonts w:ascii="Calibri" w:eastAsia="Calibri" w:hAnsi="Calibri" w:cs="Calibri"/>
                        <w:b/>
                        <w:bCs/>
                        <w:color w:val="003366"/>
                        <w:sz w:val="20"/>
                        <w:szCs w:val="20"/>
                      </w:rPr>
                    </w:pPr>
                    <w:r w:rsidRPr="001F37F0">
                      <w:rPr>
                        <w:rFonts w:ascii="Calibri" w:eastAsia="Calibri" w:hAnsi="Calibri" w:cs="Calibri"/>
                        <w:b/>
                        <w:bCs/>
                        <w:color w:val="003366"/>
                        <w:sz w:val="20"/>
                        <w:szCs w:val="20"/>
                      </w:rPr>
                      <w:t>Ministério da</w:t>
                    </w:r>
                  </w:p>
                  <w:p w:rsidR="00A34C9A" w:rsidRPr="001F37F0" w:rsidRDefault="00A34C9A" w:rsidP="00BC390C">
                    <w:pPr>
                      <w:autoSpaceDE w:val="0"/>
                      <w:autoSpaceDN w:val="0"/>
                      <w:adjustRightInd w:val="0"/>
                      <w:spacing w:after="0" w:line="240" w:lineRule="auto"/>
                      <w:jc w:val="right"/>
                      <w:rPr>
                        <w:rFonts w:ascii="Calibri" w:eastAsia="Calibri" w:hAnsi="Calibri" w:cs="Calibri"/>
                        <w:b/>
                        <w:bCs/>
                        <w:color w:val="003366"/>
                        <w:sz w:val="20"/>
                        <w:szCs w:val="20"/>
                      </w:rPr>
                    </w:pPr>
                    <w:r>
                      <w:rPr>
                        <w:rFonts w:ascii="Calibri" w:eastAsia="Calibri" w:hAnsi="Calibri" w:cs="Calibri"/>
                        <w:b/>
                        <w:bCs/>
                        <w:color w:val="003366"/>
                        <w:sz w:val="20"/>
                        <w:szCs w:val="20"/>
                      </w:rPr>
                      <w:t>Ciência,</w:t>
                    </w:r>
                    <w:r w:rsidRPr="001F37F0">
                      <w:rPr>
                        <w:rFonts w:ascii="Calibri" w:eastAsia="Calibri" w:hAnsi="Calibri" w:cs="Calibri"/>
                        <w:b/>
                        <w:bCs/>
                        <w:color w:val="003366"/>
                        <w:sz w:val="20"/>
                        <w:szCs w:val="20"/>
                      </w:rPr>
                      <w:t xml:space="preserve"> Tecnologia e Inovação</w:t>
                    </w:r>
                  </w:p>
                </w:txbxContent>
              </v:textbox>
            </v:rect>
          </w:pict>
        </mc:Fallback>
      </mc:AlternateContent>
    </w:r>
    <w:r>
      <w:rPr>
        <w:noProof/>
        <w:lang w:eastAsia="pt-BR"/>
      </w:rPr>
      <w:drawing>
        <wp:anchor distT="0" distB="0" distL="114300" distR="114300" simplePos="0" relativeHeight="251659264" behindDoc="0" locked="0" layoutInCell="1" allowOverlap="1" wp14:anchorId="52761E7A" wp14:editId="187C0949">
          <wp:simplePos x="0" y="0"/>
          <wp:positionH relativeFrom="column">
            <wp:posOffset>5067300</wp:posOffset>
          </wp:positionH>
          <wp:positionV relativeFrom="paragraph">
            <wp:posOffset>-242570</wp:posOffset>
          </wp:positionV>
          <wp:extent cx="1447800" cy="50927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092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5D8"/>
    <w:multiLevelType w:val="hybridMultilevel"/>
    <w:tmpl w:val="94840ADA"/>
    <w:lvl w:ilvl="0" w:tplc="0930CA6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B1066D1"/>
    <w:multiLevelType w:val="multilevel"/>
    <w:tmpl w:val="43162060"/>
    <w:lvl w:ilvl="0">
      <w:start w:val="4"/>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nsid w:val="25450FDB"/>
    <w:multiLevelType w:val="multilevel"/>
    <w:tmpl w:val="E4DE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161C56"/>
    <w:multiLevelType w:val="multilevel"/>
    <w:tmpl w:val="6140383E"/>
    <w:lvl w:ilvl="0">
      <w:start w:val="1"/>
      <w:numFmt w:val="upperRoman"/>
      <w:lvlText w:val="%1."/>
      <w:lvlJc w:val="right"/>
      <w:pPr>
        <w:ind w:left="1428"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
    <w:nsid w:val="2E330A52"/>
    <w:multiLevelType w:val="hybridMultilevel"/>
    <w:tmpl w:val="DFCAC46C"/>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35972411"/>
    <w:multiLevelType w:val="hybridMultilevel"/>
    <w:tmpl w:val="B4E0A6A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C36C1A"/>
    <w:multiLevelType w:val="hybridMultilevel"/>
    <w:tmpl w:val="BB1E1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78E223D"/>
    <w:multiLevelType w:val="hybridMultilevel"/>
    <w:tmpl w:val="474A4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79F3A09"/>
    <w:multiLevelType w:val="hybridMultilevel"/>
    <w:tmpl w:val="0144F3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26620D7"/>
    <w:multiLevelType w:val="hybridMultilevel"/>
    <w:tmpl w:val="216224F6"/>
    <w:lvl w:ilvl="0" w:tplc="6EB4670E">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67F15406"/>
    <w:multiLevelType w:val="hybridMultilevel"/>
    <w:tmpl w:val="52725CE6"/>
    <w:lvl w:ilvl="0" w:tplc="04160001">
      <w:start w:val="1"/>
      <w:numFmt w:val="bullet"/>
      <w:lvlText w:val=""/>
      <w:lvlJc w:val="left"/>
      <w:pPr>
        <w:ind w:left="753" w:hanging="360"/>
      </w:pPr>
      <w:rPr>
        <w:rFonts w:ascii="Symbol" w:hAnsi="Symbol" w:hint="default"/>
      </w:rPr>
    </w:lvl>
    <w:lvl w:ilvl="1" w:tplc="04160003">
      <w:start w:val="1"/>
      <w:numFmt w:val="bullet"/>
      <w:lvlText w:val="o"/>
      <w:lvlJc w:val="left"/>
      <w:pPr>
        <w:ind w:left="1473" w:hanging="360"/>
      </w:pPr>
      <w:rPr>
        <w:rFonts w:ascii="Courier New" w:hAnsi="Courier New" w:cs="Courier New" w:hint="default"/>
      </w:rPr>
    </w:lvl>
    <w:lvl w:ilvl="2" w:tplc="04160005" w:tentative="1">
      <w:start w:val="1"/>
      <w:numFmt w:val="bullet"/>
      <w:lvlText w:val=""/>
      <w:lvlJc w:val="left"/>
      <w:pPr>
        <w:ind w:left="2193" w:hanging="360"/>
      </w:pPr>
      <w:rPr>
        <w:rFonts w:ascii="Wingdings" w:hAnsi="Wingdings" w:hint="default"/>
      </w:rPr>
    </w:lvl>
    <w:lvl w:ilvl="3" w:tplc="04160001" w:tentative="1">
      <w:start w:val="1"/>
      <w:numFmt w:val="bullet"/>
      <w:lvlText w:val=""/>
      <w:lvlJc w:val="left"/>
      <w:pPr>
        <w:ind w:left="2913" w:hanging="360"/>
      </w:pPr>
      <w:rPr>
        <w:rFonts w:ascii="Symbol" w:hAnsi="Symbol" w:hint="default"/>
      </w:rPr>
    </w:lvl>
    <w:lvl w:ilvl="4" w:tplc="04160003" w:tentative="1">
      <w:start w:val="1"/>
      <w:numFmt w:val="bullet"/>
      <w:lvlText w:val="o"/>
      <w:lvlJc w:val="left"/>
      <w:pPr>
        <w:ind w:left="3633" w:hanging="360"/>
      </w:pPr>
      <w:rPr>
        <w:rFonts w:ascii="Courier New" w:hAnsi="Courier New" w:cs="Courier New" w:hint="default"/>
      </w:rPr>
    </w:lvl>
    <w:lvl w:ilvl="5" w:tplc="04160005" w:tentative="1">
      <w:start w:val="1"/>
      <w:numFmt w:val="bullet"/>
      <w:lvlText w:val=""/>
      <w:lvlJc w:val="left"/>
      <w:pPr>
        <w:ind w:left="4353" w:hanging="360"/>
      </w:pPr>
      <w:rPr>
        <w:rFonts w:ascii="Wingdings" w:hAnsi="Wingdings" w:hint="default"/>
      </w:rPr>
    </w:lvl>
    <w:lvl w:ilvl="6" w:tplc="04160001" w:tentative="1">
      <w:start w:val="1"/>
      <w:numFmt w:val="bullet"/>
      <w:lvlText w:val=""/>
      <w:lvlJc w:val="left"/>
      <w:pPr>
        <w:ind w:left="5073" w:hanging="360"/>
      </w:pPr>
      <w:rPr>
        <w:rFonts w:ascii="Symbol" w:hAnsi="Symbol" w:hint="default"/>
      </w:rPr>
    </w:lvl>
    <w:lvl w:ilvl="7" w:tplc="04160003" w:tentative="1">
      <w:start w:val="1"/>
      <w:numFmt w:val="bullet"/>
      <w:lvlText w:val="o"/>
      <w:lvlJc w:val="left"/>
      <w:pPr>
        <w:ind w:left="5793" w:hanging="360"/>
      </w:pPr>
      <w:rPr>
        <w:rFonts w:ascii="Courier New" w:hAnsi="Courier New" w:cs="Courier New" w:hint="default"/>
      </w:rPr>
    </w:lvl>
    <w:lvl w:ilvl="8" w:tplc="04160005" w:tentative="1">
      <w:start w:val="1"/>
      <w:numFmt w:val="bullet"/>
      <w:lvlText w:val=""/>
      <w:lvlJc w:val="left"/>
      <w:pPr>
        <w:ind w:left="6513" w:hanging="360"/>
      </w:pPr>
      <w:rPr>
        <w:rFonts w:ascii="Wingdings" w:hAnsi="Wingdings" w:hint="default"/>
      </w:rPr>
    </w:lvl>
  </w:abstractNum>
  <w:abstractNum w:abstractNumId="11">
    <w:nsid w:val="6DD00648"/>
    <w:multiLevelType w:val="multilevel"/>
    <w:tmpl w:val="3AD8BBBC"/>
    <w:lvl w:ilvl="0">
      <w:start w:val="3"/>
      <w:numFmt w:val="decimal"/>
      <w:lvlText w:val="%1"/>
      <w:lvlJc w:val="left"/>
      <w:pPr>
        <w:ind w:left="375" w:hanging="375"/>
      </w:pPr>
      <w:rPr>
        <w:rFonts w:hint="default"/>
      </w:rPr>
    </w:lvl>
    <w:lvl w:ilvl="1">
      <w:start w:val="10"/>
      <w:numFmt w:val="decimal"/>
      <w:lvlText w:val="%1.%2"/>
      <w:lvlJc w:val="left"/>
      <w:pPr>
        <w:ind w:left="1803" w:hanging="375"/>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nsid w:val="7252018D"/>
    <w:multiLevelType w:val="multilevel"/>
    <w:tmpl w:val="528AD9C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num w:numId="1">
    <w:abstractNumId w:val="2"/>
  </w:num>
  <w:num w:numId="2">
    <w:abstractNumId w:val="4"/>
  </w:num>
  <w:num w:numId="3">
    <w:abstractNumId w:val="3"/>
  </w:num>
  <w:num w:numId="4">
    <w:abstractNumId w:val="12"/>
  </w:num>
  <w:num w:numId="5">
    <w:abstractNumId w:val="6"/>
  </w:num>
  <w:num w:numId="6">
    <w:abstractNumId w:val="9"/>
  </w:num>
  <w:num w:numId="7">
    <w:abstractNumId w:val="0"/>
  </w:num>
  <w:num w:numId="8">
    <w:abstractNumId w:val="11"/>
  </w:num>
  <w:num w:numId="9">
    <w:abstractNumId w:val="1"/>
  </w:num>
  <w:num w:numId="10">
    <w:abstractNumId w:val="5"/>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0E"/>
    <w:rsid w:val="000165CB"/>
    <w:rsid w:val="00040830"/>
    <w:rsid w:val="00041D16"/>
    <w:rsid w:val="000423EC"/>
    <w:rsid w:val="00043F6D"/>
    <w:rsid w:val="00071CAC"/>
    <w:rsid w:val="00071F1E"/>
    <w:rsid w:val="000A213F"/>
    <w:rsid w:val="000A34EE"/>
    <w:rsid w:val="000A6624"/>
    <w:rsid w:val="000A78C5"/>
    <w:rsid w:val="000E151B"/>
    <w:rsid w:val="000F207A"/>
    <w:rsid w:val="000F4A17"/>
    <w:rsid w:val="00107D2E"/>
    <w:rsid w:val="0011729E"/>
    <w:rsid w:val="001222BE"/>
    <w:rsid w:val="00136A11"/>
    <w:rsid w:val="0014025C"/>
    <w:rsid w:val="0014278B"/>
    <w:rsid w:val="0017111D"/>
    <w:rsid w:val="00176FAC"/>
    <w:rsid w:val="00185087"/>
    <w:rsid w:val="001A1521"/>
    <w:rsid w:val="001A3E12"/>
    <w:rsid w:val="001B0B6E"/>
    <w:rsid w:val="001B1BEC"/>
    <w:rsid w:val="001F4B40"/>
    <w:rsid w:val="00212E45"/>
    <w:rsid w:val="002254B6"/>
    <w:rsid w:val="002320E8"/>
    <w:rsid w:val="00234CD2"/>
    <w:rsid w:val="002606CA"/>
    <w:rsid w:val="002632DD"/>
    <w:rsid w:val="002A4EF1"/>
    <w:rsid w:val="002A66F7"/>
    <w:rsid w:val="002C3815"/>
    <w:rsid w:val="002C66E8"/>
    <w:rsid w:val="002D1885"/>
    <w:rsid w:val="002F0B02"/>
    <w:rsid w:val="00302458"/>
    <w:rsid w:val="003067C3"/>
    <w:rsid w:val="00310FF0"/>
    <w:rsid w:val="003128D3"/>
    <w:rsid w:val="00340814"/>
    <w:rsid w:val="003430CC"/>
    <w:rsid w:val="00343C3E"/>
    <w:rsid w:val="003458CA"/>
    <w:rsid w:val="00360A71"/>
    <w:rsid w:val="00362A5C"/>
    <w:rsid w:val="003708B5"/>
    <w:rsid w:val="00376404"/>
    <w:rsid w:val="00386677"/>
    <w:rsid w:val="003B3E6F"/>
    <w:rsid w:val="003D0FF5"/>
    <w:rsid w:val="003D2500"/>
    <w:rsid w:val="00401EE8"/>
    <w:rsid w:val="0040410F"/>
    <w:rsid w:val="004055D4"/>
    <w:rsid w:val="00406941"/>
    <w:rsid w:val="004136BD"/>
    <w:rsid w:val="004275C4"/>
    <w:rsid w:val="00441921"/>
    <w:rsid w:val="00442669"/>
    <w:rsid w:val="00442976"/>
    <w:rsid w:val="00486CBF"/>
    <w:rsid w:val="00494D9A"/>
    <w:rsid w:val="00495525"/>
    <w:rsid w:val="00497792"/>
    <w:rsid w:val="004E2238"/>
    <w:rsid w:val="004F11BC"/>
    <w:rsid w:val="004F6468"/>
    <w:rsid w:val="005016D8"/>
    <w:rsid w:val="00530A66"/>
    <w:rsid w:val="00542A8B"/>
    <w:rsid w:val="00544203"/>
    <w:rsid w:val="00557695"/>
    <w:rsid w:val="00585B60"/>
    <w:rsid w:val="00590B1C"/>
    <w:rsid w:val="00594519"/>
    <w:rsid w:val="005B4AE8"/>
    <w:rsid w:val="005D779C"/>
    <w:rsid w:val="00600C0E"/>
    <w:rsid w:val="0060342C"/>
    <w:rsid w:val="0060614C"/>
    <w:rsid w:val="00614FA4"/>
    <w:rsid w:val="00625B35"/>
    <w:rsid w:val="006352D2"/>
    <w:rsid w:val="0063548E"/>
    <w:rsid w:val="006609B0"/>
    <w:rsid w:val="006919D6"/>
    <w:rsid w:val="006B2093"/>
    <w:rsid w:val="006B746B"/>
    <w:rsid w:val="006E48D1"/>
    <w:rsid w:val="006F0716"/>
    <w:rsid w:val="006F13E3"/>
    <w:rsid w:val="00705898"/>
    <w:rsid w:val="00721CFE"/>
    <w:rsid w:val="00722BB8"/>
    <w:rsid w:val="00736E14"/>
    <w:rsid w:val="007512B0"/>
    <w:rsid w:val="00755154"/>
    <w:rsid w:val="00756826"/>
    <w:rsid w:val="007638C5"/>
    <w:rsid w:val="007A7350"/>
    <w:rsid w:val="007B1A69"/>
    <w:rsid w:val="007B5B65"/>
    <w:rsid w:val="007C1828"/>
    <w:rsid w:val="007E5DF6"/>
    <w:rsid w:val="007F307C"/>
    <w:rsid w:val="00815BCC"/>
    <w:rsid w:val="008161E7"/>
    <w:rsid w:val="008220DB"/>
    <w:rsid w:val="00824F82"/>
    <w:rsid w:val="00835DB1"/>
    <w:rsid w:val="00836645"/>
    <w:rsid w:val="00842BF3"/>
    <w:rsid w:val="00854FC8"/>
    <w:rsid w:val="00861F3B"/>
    <w:rsid w:val="00881F48"/>
    <w:rsid w:val="00886EDD"/>
    <w:rsid w:val="008B088E"/>
    <w:rsid w:val="008D195A"/>
    <w:rsid w:val="008D47F5"/>
    <w:rsid w:val="008F124B"/>
    <w:rsid w:val="008F4D86"/>
    <w:rsid w:val="008F675B"/>
    <w:rsid w:val="009131A8"/>
    <w:rsid w:val="00951D91"/>
    <w:rsid w:val="00974CFF"/>
    <w:rsid w:val="00977225"/>
    <w:rsid w:val="00981753"/>
    <w:rsid w:val="00985149"/>
    <w:rsid w:val="009A01C1"/>
    <w:rsid w:val="009C3BCB"/>
    <w:rsid w:val="009D06B2"/>
    <w:rsid w:val="009D74EE"/>
    <w:rsid w:val="009D7607"/>
    <w:rsid w:val="009E4815"/>
    <w:rsid w:val="009F3AE7"/>
    <w:rsid w:val="00A15EC1"/>
    <w:rsid w:val="00A17500"/>
    <w:rsid w:val="00A31C62"/>
    <w:rsid w:val="00A34C9A"/>
    <w:rsid w:val="00A37CEC"/>
    <w:rsid w:val="00A4244C"/>
    <w:rsid w:val="00A42D20"/>
    <w:rsid w:val="00A44D4D"/>
    <w:rsid w:val="00A463CE"/>
    <w:rsid w:val="00A64575"/>
    <w:rsid w:val="00A86E80"/>
    <w:rsid w:val="00A87756"/>
    <w:rsid w:val="00AA086D"/>
    <w:rsid w:val="00AA17AC"/>
    <w:rsid w:val="00AA1E73"/>
    <w:rsid w:val="00AC5C33"/>
    <w:rsid w:val="00AE69E1"/>
    <w:rsid w:val="00B07C44"/>
    <w:rsid w:val="00B14570"/>
    <w:rsid w:val="00B3095D"/>
    <w:rsid w:val="00B43E1F"/>
    <w:rsid w:val="00B44894"/>
    <w:rsid w:val="00B56FE8"/>
    <w:rsid w:val="00B87447"/>
    <w:rsid w:val="00B93ACA"/>
    <w:rsid w:val="00BB2EAB"/>
    <w:rsid w:val="00BC0728"/>
    <w:rsid w:val="00BC390C"/>
    <w:rsid w:val="00BC409D"/>
    <w:rsid w:val="00BD44B7"/>
    <w:rsid w:val="00BD64B6"/>
    <w:rsid w:val="00BD6F60"/>
    <w:rsid w:val="00BD7642"/>
    <w:rsid w:val="00BF7BD4"/>
    <w:rsid w:val="00C06583"/>
    <w:rsid w:val="00C11D14"/>
    <w:rsid w:val="00C222D2"/>
    <w:rsid w:val="00C32DEB"/>
    <w:rsid w:val="00C3599B"/>
    <w:rsid w:val="00C50818"/>
    <w:rsid w:val="00C532BD"/>
    <w:rsid w:val="00C705EC"/>
    <w:rsid w:val="00C802F5"/>
    <w:rsid w:val="00C872C8"/>
    <w:rsid w:val="00C935AB"/>
    <w:rsid w:val="00CB26E6"/>
    <w:rsid w:val="00CC0462"/>
    <w:rsid w:val="00CC40F0"/>
    <w:rsid w:val="00D33C34"/>
    <w:rsid w:val="00D41989"/>
    <w:rsid w:val="00D45C96"/>
    <w:rsid w:val="00D55AF4"/>
    <w:rsid w:val="00D70AFD"/>
    <w:rsid w:val="00D86424"/>
    <w:rsid w:val="00D97A90"/>
    <w:rsid w:val="00DA3215"/>
    <w:rsid w:val="00DC65A5"/>
    <w:rsid w:val="00DC6FB3"/>
    <w:rsid w:val="00DD253C"/>
    <w:rsid w:val="00DF478C"/>
    <w:rsid w:val="00DF4EC4"/>
    <w:rsid w:val="00DF7BE6"/>
    <w:rsid w:val="00E00475"/>
    <w:rsid w:val="00E04806"/>
    <w:rsid w:val="00E1092F"/>
    <w:rsid w:val="00E11C83"/>
    <w:rsid w:val="00E1523E"/>
    <w:rsid w:val="00E411B6"/>
    <w:rsid w:val="00E64CCE"/>
    <w:rsid w:val="00E7185F"/>
    <w:rsid w:val="00E778A6"/>
    <w:rsid w:val="00E85CB5"/>
    <w:rsid w:val="00ED2CCA"/>
    <w:rsid w:val="00ED73A3"/>
    <w:rsid w:val="00EE64FE"/>
    <w:rsid w:val="00EE6C48"/>
    <w:rsid w:val="00EF1071"/>
    <w:rsid w:val="00F375DF"/>
    <w:rsid w:val="00F42D08"/>
    <w:rsid w:val="00F65528"/>
    <w:rsid w:val="00F7097D"/>
    <w:rsid w:val="00F83FC6"/>
    <w:rsid w:val="00F92D20"/>
    <w:rsid w:val="00F93823"/>
    <w:rsid w:val="00FE08E8"/>
    <w:rsid w:val="00FE3F9B"/>
    <w:rsid w:val="00FF1BD6"/>
    <w:rsid w:val="00FF3B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7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7350"/>
  </w:style>
  <w:style w:type="paragraph" w:styleId="Rodap">
    <w:name w:val="footer"/>
    <w:basedOn w:val="Normal"/>
    <w:link w:val="RodapChar"/>
    <w:uiPriority w:val="99"/>
    <w:unhideWhenUsed/>
    <w:rsid w:val="007A7350"/>
    <w:pPr>
      <w:tabs>
        <w:tab w:val="center" w:pos="4252"/>
        <w:tab w:val="right" w:pos="8504"/>
      </w:tabs>
      <w:spacing w:after="0" w:line="240" w:lineRule="auto"/>
    </w:pPr>
  </w:style>
  <w:style w:type="character" w:customStyle="1" w:styleId="RodapChar">
    <w:name w:val="Rodapé Char"/>
    <w:basedOn w:val="Fontepargpadro"/>
    <w:link w:val="Rodap"/>
    <w:uiPriority w:val="99"/>
    <w:rsid w:val="007A7350"/>
  </w:style>
  <w:style w:type="paragraph" w:styleId="Textodebalo">
    <w:name w:val="Balloon Text"/>
    <w:basedOn w:val="Normal"/>
    <w:link w:val="TextodebaloChar"/>
    <w:uiPriority w:val="99"/>
    <w:semiHidden/>
    <w:unhideWhenUsed/>
    <w:rsid w:val="007A73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7350"/>
    <w:rPr>
      <w:rFonts w:ascii="Tahoma" w:hAnsi="Tahoma" w:cs="Tahoma"/>
      <w:sz w:val="16"/>
      <w:szCs w:val="16"/>
    </w:rPr>
  </w:style>
  <w:style w:type="paragraph" w:styleId="NormalWeb">
    <w:name w:val="Normal (Web)"/>
    <w:basedOn w:val="Normal"/>
    <w:uiPriority w:val="99"/>
    <w:semiHidden/>
    <w:unhideWhenUsed/>
    <w:rsid w:val="000A21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13F"/>
    <w:pPr>
      <w:ind w:left="720"/>
      <w:contextualSpacing/>
    </w:pPr>
  </w:style>
  <w:style w:type="character" w:styleId="Hyperlink">
    <w:name w:val="Hyperlink"/>
    <w:rsid w:val="00441921"/>
    <w:rPr>
      <w:color w:val="0000FF"/>
      <w:u w:val="single"/>
    </w:rPr>
  </w:style>
  <w:style w:type="paragraph" w:styleId="Textodenotaderodap">
    <w:name w:val="footnote text"/>
    <w:basedOn w:val="Normal"/>
    <w:link w:val="TextodenotaderodapChar"/>
    <w:semiHidden/>
    <w:rsid w:val="0044192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41921"/>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441921"/>
    <w:rPr>
      <w:vertAlign w:val="superscript"/>
    </w:rPr>
  </w:style>
  <w:style w:type="paragraph" w:customStyle="1" w:styleId="3CBD5A742C28424DA5172AD252E32316">
    <w:name w:val="3CBD5A742C28424DA5172AD252E32316"/>
    <w:rsid w:val="00A15EC1"/>
    <w:rPr>
      <w:rFonts w:eastAsiaTheme="minorEastAsia"/>
      <w:lang w:eastAsia="pt-BR"/>
    </w:rPr>
  </w:style>
  <w:style w:type="paragraph" w:styleId="Textodenotadefim">
    <w:name w:val="endnote text"/>
    <w:basedOn w:val="Normal"/>
    <w:link w:val="TextodenotadefimChar"/>
    <w:uiPriority w:val="99"/>
    <w:semiHidden/>
    <w:unhideWhenUsed/>
    <w:rsid w:val="00D45C9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45C96"/>
    <w:rPr>
      <w:sz w:val="20"/>
      <w:szCs w:val="20"/>
    </w:rPr>
  </w:style>
  <w:style w:type="character" w:styleId="Refdenotadefim">
    <w:name w:val="endnote reference"/>
    <w:basedOn w:val="Fontepargpadro"/>
    <w:uiPriority w:val="99"/>
    <w:semiHidden/>
    <w:unhideWhenUsed/>
    <w:rsid w:val="00D45C96"/>
    <w:rPr>
      <w:vertAlign w:val="superscript"/>
    </w:rPr>
  </w:style>
  <w:style w:type="character" w:customStyle="1" w:styleId="texto1">
    <w:name w:val="texto1"/>
    <w:basedOn w:val="Fontepargpadro"/>
    <w:rsid w:val="00F7097D"/>
    <w:rPr>
      <w:rFonts w:ascii="Verdana" w:hAnsi="Verdana" w:hint="default"/>
      <w:color w:val="000000"/>
      <w:sz w:val="20"/>
      <w:szCs w:val="20"/>
    </w:rPr>
  </w:style>
  <w:style w:type="character" w:styleId="Forte">
    <w:name w:val="Strong"/>
    <w:basedOn w:val="Fontepargpadro"/>
    <w:uiPriority w:val="22"/>
    <w:qFormat/>
    <w:rsid w:val="00861F3B"/>
    <w:rPr>
      <w:b/>
      <w:bCs/>
    </w:rPr>
  </w:style>
  <w:style w:type="paragraph" w:customStyle="1" w:styleId="Default">
    <w:name w:val="Default"/>
    <w:rsid w:val="00FE08E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73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7350"/>
  </w:style>
  <w:style w:type="paragraph" w:styleId="Rodap">
    <w:name w:val="footer"/>
    <w:basedOn w:val="Normal"/>
    <w:link w:val="RodapChar"/>
    <w:uiPriority w:val="99"/>
    <w:unhideWhenUsed/>
    <w:rsid w:val="007A7350"/>
    <w:pPr>
      <w:tabs>
        <w:tab w:val="center" w:pos="4252"/>
        <w:tab w:val="right" w:pos="8504"/>
      </w:tabs>
      <w:spacing w:after="0" w:line="240" w:lineRule="auto"/>
    </w:pPr>
  </w:style>
  <w:style w:type="character" w:customStyle="1" w:styleId="RodapChar">
    <w:name w:val="Rodapé Char"/>
    <w:basedOn w:val="Fontepargpadro"/>
    <w:link w:val="Rodap"/>
    <w:uiPriority w:val="99"/>
    <w:rsid w:val="007A7350"/>
  </w:style>
  <w:style w:type="paragraph" w:styleId="Textodebalo">
    <w:name w:val="Balloon Text"/>
    <w:basedOn w:val="Normal"/>
    <w:link w:val="TextodebaloChar"/>
    <w:uiPriority w:val="99"/>
    <w:semiHidden/>
    <w:unhideWhenUsed/>
    <w:rsid w:val="007A73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A7350"/>
    <w:rPr>
      <w:rFonts w:ascii="Tahoma" w:hAnsi="Tahoma" w:cs="Tahoma"/>
      <w:sz w:val="16"/>
      <w:szCs w:val="16"/>
    </w:rPr>
  </w:style>
  <w:style w:type="paragraph" w:styleId="NormalWeb">
    <w:name w:val="Normal (Web)"/>
    <w:basedOn w:val="Normal"/>
    <w:uiPriority w:val="99"/>
    <w:semiHidden/>
    <w:unhideWhenUsed/>
    <w:rsid w:val="000A21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213F"/>
    <w:pPr>
      <w:ind w:left="720"/>
      <w:contextualSpacing/>
    </w:pPr>
  </w:style>
  <w:style w:type="character" w:styleId="Hyperlink">
    <w:name w:val="Hyperlink"/>
    <w:rsid w:val="00441921"/>
    <w:rPr>
      <w:color w:val="0000FF"/>
      <w:u w:val="single"/>
    </w:rPr>
  </w:style>
  <w:style w:type="paragraph" w:styleId="Textodenotaderodap">
    <w:name w:val="footnote text"/>
    <w:basedOn w:val="Normal"/>
    <w:link w:val="TextodenotaderodapChar"/>
    <w:semiHidden/>
    <w:rsid w:val="0044192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41921"/>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441921"/>
    <w:rPr>
      <w:vertAlign w:val="superscript"/>
    </w:rPr>
  </w:style>
  <w:style w:type="paragraph" w:customStyle="1" w:styleId="3CBD5A742C28424DA5172AD252E32316">
    <w:name w:val="3CBD5A742C28424DA5172AD252E32316"/>
    <w:rsid w:val="00A15EC1"/>
    <w:rPr>
      <w:rFonts w:eastAsiaTheme="minorEastAsia"/>
      <w:lang w:eastAsia="pt-BR"/>
    </w:rPr>
  </w:style>
  <w:style w:type="paragraph" w:styleId="Textodenotadefim">
    <w:name w:val="endnote text"/>
    <w:basedOn w:val="Normal"/>
    <w:link w:val="TextodenotadefimChar"/>
    <w:uiPriority w:val="99"/>
    <w:semiHidden/>
    <w:unhideWhenUsed/>
    <w:rsid w:val="00D45C9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45C96"/>
    <w:rPr>
      <w:sz w:val="20"/>
      <w:szCs w:val="20"/>
    </w:rPr>
  </w:style>
  <w:style w:type="character" w:styleId="Refdenotadefim">
    <w:name w:val="endnote reference"/>
    <w:basedOn w:val="Fontepargpadro"/>
    <w:uiPriority w:val="99"/>
    <w:semiHidden/>
    <w:unhideWhenUsed/>
    <w:rsid w:val="00D45C96"/>
    <w:rPr>
      <w:vertAlign w:val="superscript"/>
    </w:rPr>
  </w:style>
  <w:style w:type="character" w:customStyle="1" w:styleId="texto1">
    <w:name w:val="texto1"/>
    <w:basedOn w:val="Fontepargpadro"/>
    <w:rsid w:val="00F7097D"/>
    <w:rPr>
      <w:rFonts w:ascii="Verdana" w:hAnsi="Verdana" w:hint="default"/>
      <w:color w:val="000000"/>
      <w:sz w:val="20"/>
      <w:szCs w:val="20"/>
    </w:rPr>
  </w:style>
  <w:style w:type="character" w:styleId="Forte">
    <w:name w:val="Strong"/>
    <w:basedOn w:val="Fontepargpadro"/>
    <w:uiPriority w:val="22"/>
    <w:qFormat/>
    <w:rsid w:val="00861F3B"/>
    <w:rPr>
      <w:b/>
      <w:bCs/>
    </w:rPr>
  </w:style>
  <w:style w:type="paragraph" w:customStyle="1" w:styleId="Default">
    <w:name w:val="Default"/>
    <w:rsid w:val="00FE08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6533">
      <w:bodyDiv w:val="1"/>
      <w:marLeft w:val="0"/>
      <w:marRight w:val="0"/>
      <w:marTop w:val="0"/>
      <w:marBottom w:val="0"/>
      <w:divBdr>
        <w:top w:val="none" w:sz="0" w:space="0" w:color="auto"/>
        <w:left w:val="none" w:sz="0" w:space="0" w:color="auto"/>
        <w:bottom w:val="none" w:sz="0" w:space="0" w:color="auto"/>
        <w:right w:val="none" w:sz="0" w:space="0" w:color="auto"/>
      </w:divBdr>
    </w:div>
    <w:div w:id="689141800">
      <w:bodyDiv w:val="1"/>
      <w:marLeft w:val="0"/>
      <w:marRight w:val="0"/>
      <w:marTop w:val="0"/>
      <w:marBottom w:val="0"/>
      <w:divBdr>
        <w:top w:val="none" w:sz="0" w:space="0" w:color="auto"/>
        <w:left w:val="none" w:sz="0" w:space="0" w:color="auto"/>
        <w:bottom w:val="none" w:sz="0" w:space="0" w:color="auto"/>
        <w:right w:val="none" w:sz="0" w:space="0" w:color="auto"/>
      </w:divBdr>
    </w:div>
    <w:div w:id="1296790522">
      <w:bodyDiv w:val="1"/>
      <w:marLeft w:val="0"/>
      <w:marRight w:val="0"/>
      <w:marTop w:val="0"/>
      <w:marBottom w:val="0"/>
      <w:divBdr>
        <w:top w:val="none" w:sz="0" w:space="0" w:color="auto"/>
        <w:left w:val="none" w:sz="0" w:space="0" w:color="auto"/>
        <w:bottom w:val="none" w:sz="0" w:space="0" w:color="auto"/>
        <w:right w:val="none" w:sz="0" w:space="0" w:color="auto"/>
      </w:divBdr>
      <w:divsChild>
        <w:div w:id="741105205">
          <w:marLeft w:val="0"/>
          <w:marRight w:val="0"/>
          <w:marTop w:val="0"/>
          <w:marBottom w:val="0"/>
          <w:divBdr>
            <w:top w:val="none" w:sz="0" w:space="0" w:color="auto"/>
            <w:left w:val="none" w:sz="0" w:space="0" w:color="auto"/>
            <w:bottom w:val="none" w:sz="0" w:space="0" w:color="auto"/>
            <w:right w:val="none" w:sz="0" w:space="0" w:color="auto"/>
          </w:divBdr>
          <w:divsChild>
            <w:div w:id="1403405908">
              <w:marLeft w:val="0"/>
              <w:marRight w:val="0"/>
              <w:marTop w:val="0"/>
              <w:marBottom w:val="0"/>
              <w:divBdr>
                <w:top w:val="none" w:sz="0" w:space="0" w:color="auto"/>
                <w:left w:val="none" w:sz="0" w:space="0" w:color="auto"/>
                <w:bottom w:val="none" w:sz="0" w:space="0" w:color="auto"/>
                <w:right w:val="none" w:sz="0" w:space="0" w:color="auto"/>
              </w:divBdr>
              <w:divsChild>
                <w:div w:id="4749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9753">
      <w:bodyDiv w:val="1"/>
      <w:marLeft w:val="0"/>
      <w:marRight w:val="0"/>
      <w:marTop w:val="150"/>
      <w:marBottom w:val="150"/>
      <w:divBdr>
        <w:top w:val="none" w:sz="0" w:space="0" w:color="auto"/>
        <w:left w:val="none" w:sz="0" w:space="0" w:color="auto"/>
        <w:bottom w:val="none" w:sz="0" w:space="0" w:color="auto"/>
        <w:right w:val="none" w:sz="0" w:space="0" w:color="auto"/>
      </w:divBdr>
      <w:divsChild>
        <w:div w:id="691343023">
          <w:marLeft w:val="0"/>
          <w:marRight w:val="0"/>
          <w:marTop w:val="100"/>
          <w:marBottom w:val="100"/>
          <w:divBdr>
            <w:top w:val="none" w:sz="0" w:space="0" w:color="auto"/>
            <w:left w:val="none" w:sz="0" w:space="0" w:color="auto"/>
            <w:bottom w:val="none" w:sz="0" w:space="0" w:color="auto"/>
            <w:right w:val="none" w:sz="0" w:space="0" w:color="auto"/>
          </w:divBdr>
          <w:divsChild>
            <w:div w:id="870801356">
              <w:marLeft w:val="0"/>
              <w:marRight w:val="0"/>
              <w:marTop w:val="0"/>
              <w:marBottom w:val="0"/>
              <w:divBdr>
                <w:top w:val="none" w:sz="0" w:space="0" w:color="auto"/>
                <w:left w:val="none" w:sz="0" w:space="0" w:color="auto"/>
                <w:bottom w:val="none" w:sz="0" w:space="0" w:color="auto"/>
                <w:right w:val="single" w:sz="6" w:space="0" w:color="63668B"/>
              </w:divBdr>
              <w:divsChild>
                <w:div w:id="73666809">
                  <w:marLeft w:val="0"/>
                  <w:marRight w:val="0"/>
                  <w:marTop w:val="0"/>
                  <w:marBottom w:val="0"/>
                  <w:divBdr>
                    <w:top w:val="none" w:sz="0" w:space="0" w:color="auto"/>
                    <w:left w:val="none" w:sz="0" w:space="0" w:color="auto"/>
                    <w:bottom w:val="none" w:sz="0" w:space="0" w:color="auto"/>
                    <w:right w:val="none" w:sz="0" w:space="0" w:color="auto"/>
                  </w:divBdr>
                  <w:divsChild>
                    <w:div w:id="11786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5487">
      <w:bodyDiv w:val="1"/>
      <w:marLeft w:val="0"/>
      <w:marRight w:val="0"/>
      <w:marTop w:val="0"/>
      <w:marBottom w:val="225"/>
      <w:divBdr>
        <w:top w:val="none" w:sz="0" w:space="0" w:color="auto"/>
        <w:left w:val="none" w:sz="0" w:space="0" w:color="auto"/>
        <w:bottom w:val="none" w:sz="0" w:space="0" w:color="auto"/>
        <w:right w:val="none" w:sz="0" w:space="0" w:color="auto"/>
      </w:divBdr>
      <w:divsChild>
        <w:div w:id="1053698280">
          <w:marLeft w:val="75"/>
          <w:marRight w:val="150"/>
          <w:marTop w:val="0"/>
          <w:marBottom w:val="0"/>
          <w:divBdr>
            <w:top w:val="none" w:sz="0" w:space="0" w:color="auto"/>
            <w:left w:val="none" w:sz="0" w:space="0" w:color="auto"/>
            <w:bottom w:val="none" w:sz="0" w:space="0" w:color="auto"/>
            <w:right w:val="none" w:sz="0" w:space="0" w:color="auto"/>
          </w:divBdr>
          <w:divsChild>
            <w:div w:id="12151655">
              <w:marLeft w:val="0"/>
              <w:marRight w:val="150"/>
              <w:marTop w:val="45"/>
              <w:marBottom w:val="0"/>
              <w:divBdr>
                <w:top w:val="none" w:sz="0" w:space="0" w:color="auto"/>
                <w:left w:val="none" w:sz="0" w:space="0" w:color="auto"/>
                <w:bottom w:val="none" w:sz="0" w:space="0" w:color="auto"/>
                <w:right w:val="none" w:sz="0" w:space="0" w:color="auto"/>
              </w:divBdr>
              <w:divsChild>
                <w:div w:id="305017099">
                  <w:marLeft w:val="0"/>
                  <w:marRight w:val="0"/>
                  <w:marTop w:val="0"/>
                  <w:marBottom w:val="0"/>
                  <w:divBdr>
                    <w:top w:val="none" w:sz="0" w:space="0" w:color="auto"/>
                    <w:left w:val="none" w:sz="0" w:space="0" w:color="auto"/>
                    <w:bottom w:val="none" w:sz="0" w:space="0" w:color="auto"/>
                    <w:right w:val="none" w:sz="0" w:space="0" w:color="auto"/>
                  </w:divBdr>
                  <w:divsChild>
                    <w:div w:id="1152867610">
                      <w:marLeft w:val="0"/>
                      <w:marRight w:val="0"/>
                      <w:marTop w:val="0"/>
                      <w:marBottom w:val="0"/>
                      <w:divBdr>
                        <w:top w:val="none" w:sz="0" w:space="0" w:color="auto"/>
                        <w:left w:val="none" w:sz="0" w:space="0" w:color="auto"/>
                        <w:bottom w:val="none" w:sz="0" w:space="0" w:color="auto"/>
                        <w:right w:val="none" w:sz="0" w:space="0" w:color="auto"/>
                      </w:divBdr>
                      <w:divsChild>
                        <w:div w:id="8446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104614">
      <w:bodyDiv w:val="1"/>
      <w:marLeft w:val="0"/>
      <w:marRight w:val="0"/>
      <w:marTop w:val="0"/>
      <w:marBottom w:val="0"/>
      <w:divBdr>
        <w:top w:val="none" w:sz="0" w:space="0" w:color="auto"/>
        <w:left w:val="none" w:sz="0" w:space="0" w:color="auto"/>
        <w:bottom w:val="none" w:sz="0" w:space="0" w:color="auto"/>
        <w:right w:val="none" w:sz="0" w:space="0" w:color="auto"/>
      </w:divBdr>
    </w:div>
    <w:div w:id="1898786228">
      <w:bodyDiv w:val="1"/>
      <w:marLeft w:val="0"/>
      <w:marRight w:val="0"/>
      <w:marTop w:val="0"/>
      <w:marBottom w:val="0"/>
      <w:divBdr>
        <w:top w:val="none" w:sz="0" w:space="0" w:color="auto"/>
        <w:left w:val="none" w:sz="0" w:space="0" w:color="auto"/>
        <w:bottom w:val="none" w:sz="0" w:space="0" w:color="auto"/>
        <w:right w:val="none" w:sz="0" w:space="0" w:color="auto"/>
      </w:divBdr>
    </w:div>
    <w:div w:id="2120827998">
      <w:bodyDiv w:val="1"/>
      <w:marLeft w:val="0"/>
      <w:marRight w:val="0"/>
      <w:marTop w:val="0"/>
      <w:marBottom w:val="0"/>
      <w:divBdr>
        <w:top w:val="none" w:sz="0" w:space="0" w:color="auto"/>
        <w:left w:val="none" w:sz="0" w:space="0" w:color="auto"/>
        <w:bottom w:val="none" w:sz="0" w:space="0" w:color="auto"/>
        <w:right w:val="none" w:sz="0" w:space="0" w:color="auto"/>
      </w:divBdr>
      <w:divsChild>
        <w:div w:id="1853104997">
          <w:marLeft w:val="0"/>
          <w:marRight w:val="0"/>
          <w:marTop w:val="0"/>
          <w:marBottom w:val="0"/>
          <w:divBdr>
            <w:top w:val="none" w:sz="0" w:space="0" w:color="auto"/>
            <w:left w:val="none" w:sz="0" w:space="0" w:color="auto"/>
            <w:bottom w:val="none" w:sz="0" w:space="0" w:color="auto"/>
            <w:right w:val="none" w:sz="0" w:space="0" w:color="auto"/>
          </w:divBdr>
          <w:divsChild>
            <w:div w:id="4084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5B6B-998F-4982-9072-6EB5B7E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5207</Words>
  <Characters>28124</Characters>
  <Application>Microsoft Office Word</Application>
  <DocSecurity>4</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33265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germano</dc:creator>
  <cp:lastModifiedBy>Andréa</cp:lastModifiedBy>
  <cp:revision>2</cp:revision>
  <cp:lastPrinted>2011-12-22T14:05:00Z</cp:lastPrinted>
  <dcterms:created xsi:type="dcterms:W3CDTF">2012-04-13T18:47:00Z</dcterms:created>
  <dcterms:modified xsi:type="dcterms:W3CDTF">2012-04-13T18:47:00Z</dcterms:modified>
</cp:coreProperties>
</file>